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69CBB" w14:textId="34A70519" w:rsidR="00233CFC" w:rsidRDefault="00F026C4">
      <w:pPr>
        <w:pStyle w:val="BodyText"/>
        <w:ind w:left="127"/>
        <w:rPr>
          <w:rFonts w:ascii="Times New Roman"/>
          <w:sz w:val="20"/>
        </w:rPr>
      </w:pPr>
      <w:r>
        <w:rPr>
          <w:noProof/>
        </w:rPr>
        <w:drawing>
          <wp:inline distT="0" distB="0" distL="0" distR="0" wp14:anchorId="067B71B8" wp14:editId="48C646F5">
            <wp:extent cx="2443163" cy="705397"/>
            <wp:effectExtent l="0" t="0" r="0" b="0"/>
            <wp:docPr id="1" name="Picture 1" descr="London Borough of Harro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ndon Borough of Harrow logo"/>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81194" cy="716378"/>
                    </a:xfrm>
                    <a:prstGeom prst="rect">
                      <a:avLst/>
                    </a:prstGeom>
                  </pic:spPr>
                </pic:pic>
              </a:graphicData>
            </a:graphic>
          </wp:inline>
        </w:drawing>
      </w:r>
    </w:p>
    <w:p w14:paraId="0B879810" w14:textId="77777777" w:rsidR="00233CFC" w:rsidRDefault="00233CFC">
      <w:pPr>
        <w:pStyle w:val="BodyText"/>
        <w:rPr>
          <w:rFonts w:ascii="Times New Roman"/>
          <w:sz w:val="20"/>
        </w:rPr>
      </w:pPr>
    </w:p>
    <w:p w14:paraId="6BE16777" w14:textId="77777777" w:rsidR="00233CFC" w:rsidRDefault="00233CFC">
      <w:pPr>
        <w:pStyle w:val="BodyText"/>
        <w:rPr>
          <w:rFonts w:ascii="Times New Roman"/>
          <w:sz w:val="20"/>
        </w:rPr>
      </w:pPr>
    </w:p>
    <w:p w14:paraId="414B2F46" w14:textId="77777777" w:rsidR="00233CFC" w:rsidRDefault="00233CFC">
      <w:pPr>
        <w:pStyle w:val="BodyText"/>
        <w:spacing w:before="6" w:after="1"/>
        <w:rPr>
          <w:rFonts w:ascii="Times New Roman"/>
          <w:sz w:val="12"/>
        </w:rPr>
      </w:pPr>
    </w:p>
    <w:tbl>
      <w:tblPr>
        <w:tblW w:w="0" w:type="auto"/>
        <w:tblInd w:w="119" w:type="dxa"/>
        <w:tblLayout w:type="fixed"/>
        <w:tblCellMar>
          <w:left w:w="0" w:type="dxa"/>
          <w:right w:w="0" w:type="dxa"/>
        </w:tblCellMar>
        <w:tblLook w:val="01E0" w:firstRow="1" w:lastRow="1" w:firstColumn="1" w:lastColumn="1" w:noHBand="0" w:noVBand="0"/>
      </w:tblPr>
      <w:tblGrid>
        <w:gridCol w:w="3385"/>
        <w:gridCol w:w="5513"/>
        <w:gridCol w:w="49"/>
      </w:tblGrid>
      <w:tr w:rsidR="00233CFC" w14:paraId="7BCE4AF6" w14:textId="77777777" w:rsidTr="001A0D7E">
        <w:trPr>
          <w:trHeight w:val="1013"/>
        </w:trPr>
        <w:tc>
          <w:tcPr>
            <w:tcW w:w="3385" w:type="dxa"/>
            <w:tcBorders>
              <w:top w:val="single" w:sz="18" w:space="0" w:color="000000"/>
              <w:bottom w:val="single" w:sz="18" w:space="0" w:color="000000"/>
            </w:tcBorders>
          </w:tcPr>
          <w:p w14:paraId="7C6171C2" w14:textId="77777777" w:rsidR="00233CFC" w:rsidRDefault="001A0D7E">
            <w:pPr>
              <w:pStyle w:val="TableParagraph"/>
              <w:spacing w:line="507" w:lineRule="exact"/>
              <w:ind w:left="108"/>
              <w:rPr>
                <w:rFonts w:ascii="Arial Black"/>
                <w:sz w:val="36"/>
              </w:rPr>
            </w:pPr>
            <w:r>
              <w:rPr>
                <w:rFonts w:ascii="Arial Black"/>
                <w:color w:val="999999"/>
                <w:sz w:val="36"/>
              </w:rPr>
              <w:t>REPORT</w:t>
            </w:r>
            <w:r>
              <w:rPr>
                <w:rFonts w:ascii="Arial Black"/>
                <w:color w:val="999999"/>
                <w:spacing w:val="-3"/>
                <w:sz w:val="36"/>
              </w:rPr>
              <w:t xml:space="preserve"> </w:t>
            </w:r>
            <w:r>
              <w:rPr>
                <w:rFonts w:ascii="Arial Black"/>
                <w:color w:val="999999"/>
                <w:spacing w:val="-4"/>
                <w:sz w:val="36"/>
              </w:rPr>
              <w:t>FOR:</w:t>
            </w:r>
          </w:p>
        </w:tc>
        <w:tc>
          <w:tcPr>
            <w:tcW w:w="5562" w:type="dxa"/>
            <w:gridSpan w:val="2"/>
            <w:tcBorders>
              <w:top w:val="single" w:sz="18" w:space="0" w:color="000000"/>
              <w:bottom w:val="single" w:sz="18" w:space="0" w:color="000000"/>
            </w:tcBorders>
          </w:tcPr>
          <w:p w14:paraId="41561DCE" w14:textId="77777777" w:rsidR="00233CFC" w:rsidRDefault="001A0D7E">
            <w:pPr>
              <w:pStyle w:val="TableParagraph"/>
              <w:spacing w:line="507" w:lineRule="exact"/>
              <w:ind w:left="179"/>
              <w:rPr>
                <w:rFonts w:ascii="Arial Black"/>
                <w:sz w:val="36"/>
              </w:rPr>
            </w:pPr>
            <w:r>
              <w:rPr>
                <w:rFonts w:ascii="Arial Black"/>
                <w:sz w:val="36"/>
              </w:rPr>
              <w:t>HEALTH</w:t>
            </w:r>
            <w:r>
              <w:rPr>
                <w:rFonts w:ascii="Arial Black"/>
                <w:spacing w:val="-1"/>
                <w:sz w:val="36"/>
              </w:rPr>
              <w:t xml:space="preserve"> </w:t>
            </w:r>
            <w:r>
              <w:rPr>
                <w:rFonts w:ascii="Arial Black"/>
                <w:sz w:val="36"/>
              </w:rPr>
              <w:t xml:space="preserve">AND </w:t>
            </w:r>
            <w:r>
              <w:rPr>
                <w:rFonts w:ascii="Arial Black"/>
                <w:spacing w:val="-2"/>
                <w:sz w:val="36"/>
              </w:rPr>
              <w:t>WELLBEING</w:t>
            </w:r>
          </w:p>
          <w:p w14:paraId="1FC24B45" w14:textId="77777777" w:rsidR="00233CFC" w:rsidRDefault="001A0D7E">
            <w:pPr>
              <w:pStyle w:val="TableParagraph"/>
              <w:spacing w:before="1" w:line="486" w:lineRule="exact"/>
              <w:ind w:left="179"/>
              <w:rPr>
                <w:rFonts w:ascii="Arial Black"/>
                <w:sz w:val="36"/>
              </w:rPr>
            </w:pPr>
            <w:r>
              <w:rPr>
                <w:rFonts w:ascii="Arial Black"/>
                <w:spacing w:val="-2"/>
                <w:sz w:val="36"/>
              </w:rPr>
              <w:t>BOARD</w:t>
            </w:r>
          </w:p>
        </w:tc>
      </w:tr>
      <w:tr w:rsidR="00233CFC" w14:paraId="4AE7170A" w14:textId="77777777" w:rsidTr="001A0D7E">
        <w:trPr>
          <w:trHeight w:val="592"/>
        </w:trPr>
        <w:tc>
          <w:tcPr>
            <w:tcW w:w="3385" w:type="dxa"/>
            <w:tcBorders>
              <w:top w:val="single" w:sz="18" w:space="0" w:color="000000"/>
            </w:tcBorders>
          </w:tcPr>
          <w:p w14:paraId="341EC8B6" w14:textId="77777777" w:rsidR="00233CFC" w:rsidRDefault="001A0D7E">
            <w:pPr>
              <w:pStyle w:val="TableParagraph"/>
              <w:ind w:left="108"/>
              <w:rPr>
                <w:rFonts w:ascii="Arial Black"/>
                <w:sz w:val="28"/>
              </w:rPr>
            </w:pPr>
            <w:r>
              <w:rPr>
                <w:rFonts w:ascii="Arial Black"/>
                <w:sz w:val="28"/>
              </w:rPr>
              <w:t>Date</w:t>
            </w:r>
            <w:r>
              <w:rPr>
                <w:rFonts w:ascii="Arial Black"/>
                <w:spacing w:val="-3"/>
                <w:sz w:val="28"/>
              </w:rPr>
              <w:t xml:space="preserve"> </w:t>
            </w:r>
            <w:r>
              <w:rPr>
                <w:rFonts w:ascii="Arial Black"/>
                <w:sz w:val="28"/>
              </w:rPr>
              <w:t>of</w:t>
            </w:r>
            <w:r>
              <w:rPr>
                <w:rFonts w:ascii="Arial Black"/>
                <w:spacing w:val="-3"/>
                <w:sz w:val="28"/>
              </w:rPr>
              <w:t xml:space="preserve"> </w:t>
            </w:r>
            <w:r>
              <w:rPr>
                <w:rFonts w:ascii="Arial Black"/>
                <w:spacing w:val="-2"/>
                <w:sz w:val="28"/>
              </w:rPr>
              <w:t>Meeting:</w:t>
            </w:r>
          </w:p>
        </w:tc>
        <w:tc>
          <w:tcPr>
            <w:tcW w:w="5562" w:type="dxa"/>
            <w:gridSpan w:val="2"/>
            <w:tcBorders>
              <w:top w:val="single" w:sz="18" w:space="0" w:color="000000"/>
            </w:tcBorders>
          </w:tcPr>
          <w:p w14:paraId="1C06C603" w14:textId="6DCCEC5A" w:rsidR="00233CFC" w:rsidRDefault="001A7156">
            <w:pPr>
              <w:pStyle w:val="TableParagraph"/>
              <w:spacing w:line="320" w:lineRule="exact"/>
              <w:ind w:left="258"/>
              <w:rPr>
                <w:sz w:val="28"/>
              </w:rPr>
            </w:pPr>
            <w:r>
              <w:rPr>
                <w:spacing w:val="-2"/>
                <w:sz w:val="28"/>
              </w:rPr>
              <w:t>2</w:t>
            </w:r>
            <w:r w:rsidR="001461AE">
              <w:rPr>
                <w:spacing w:val="-2"/>
                <w:sz w:val="28"/>
              </w:rPr>
              <w:t xml:space="preserve"> November 202</w:t>
            </w:r>
            <w:r w:rsidR="00FC16B8">
              <w:rPr>
                <w:spacing w:val="-2"/>
                <w:sz w:val="28"/>
              </w:rPr>
              <w:t>3</w:t>
            </w:r>
          </w:p>
        </w:tc>
      </w:tr>
      <w:tr w:rsidR="00233CFC" w14:paraId="011B4121" w14:textId="77777777" w:rsidTr="001A0D7E">
        <w:trPr>
          <w:trHeight w:val="912"/>
        </w:trPr>
        <w:tc>
          <w:tcPr>
            <w:tcW w:w="3385" w:type="dxa"/>
          </w:tcPr>
          <w:p w14:paraId="1E6BAC15" w14:textId="77777777" w:rsidR="00233CFC" w:rsidRDefault="001A0D7E">
            <w:pPr>
              <w:pStyle w:val="TableParagraph"/>
              <w:spacing w:before="198"/>
              <w:ind w:left="108"/>
              <w:rPr>
                <w:rFonts w:ascii="Arial Black"/>
                <w:sz w:val="28"/>
              </w:rPr>
            </w:pPr>
            <w:r>
              <w:rPr>
                <w:rFonts w:ascii="Arial Black"/>
                <w:spacing w:val="-2"/>
                <w:sz w:val="28"/>
              </w:rPr>
              <w:t>Subject:</w:t>
            </w:r>
          </w:p>
        </w:tc>
        <w:tc>
          <w:tcPr>
            <w:tcW w:w="5562" w:type="dxa"/>
            <w:gridSpan w:val="2"/>
          </w:tcPr>
          <w:p w14:paraId="23B5661E" w14:textId="3056436D" w:rsidR="00233CFC" w:rsidRDefault="001A0D7E">
            <w:pPr>
              <w:pStyle w:val="TableParagraph"/>
              <w:spacing w:before="195"/>
              <w:ind w:left="179"/>
              <w:rPr>
                <w:sz w:val="28"/>
              </w:rPr>
            </w:pPr>
            <w:r>
              <w:rPr>
                <w:sz w:val="28"/>
              </w:rPr>
              <w:t>Harrow Safeguarding Partners’ Annual</w:t>
            </w:r>
            <w:r>
              <w:rPr>
                <w:spacing w:val="-12"/>
                <w:sz w:val="28"/>
              </w:rPr>
              <w:t xml:space="preserve"> </w:t>
            </w:r>
            <w:r>
              <w:rPr>
                <w:sz w:val="28"/>
              </w:rPr>
              <w:t>Report</w:t>
            </w:r>
          </w:p>
        </w:tc>
      </w:tr>
      <w:tr w:rsidR="00233CFC" w14:paraId="561BAB01" w14:textId="77777777" w:rsidTr="001A0D7E">
        <w:trPr>
          <w:trHeight w:val="1039"/>
        </w:trPr>
        <w:tc>
          <w:tcPr>
            <w:tcW w:w="3385" w:type="dxa"/>
          </w:tcPr>
          <w:p w14:paraId="0D9E3342" w14:textId="77777777" w:rsidR="00233CFC" w:rsidRDefault="001A0D7E">
            <w:pPr>
              <w:pStyle w:val="TableParagraph"/>
              <w:spacing w:before="74"/>
              <w:ind w:left="108"/>
              <w:rPr>
                <w:rFonts w:ascii="Arial Black"/>
                <w:sz w:val="28"/>
              </w:rPr>
            </w:pPr>
            <w:r>
              <w:rPr>
                <w:rFonts w:ascii="Arial Black"/>
                <w:sz w:val="28"/>
              </w:rPr>
              <w:t>Responsible</w:t>
            </w:r>
            <w:r>
              <w:rPr>
                <w:rFonts w:ascii="Arial Black"/>
                <w:spacing w:val="-4"/>
                <w:sz w:val="28"/>
              </w:rPr>
              <w:t xml:space="preserve"> </w:t>
            </w:r>
            <w:r>
              <w:rPr>
                <w:rFonts w:ascii="Arial Black"/>
                <w:spacing w:val="-2"/>
                <w:sz w:val="28"/>
              </w:rPr>
              <w:t>Officer:</w:t>
            </w:r>
          </w:p>
        </w:tc>
        <w:tc>
          <w:tcPr>
            <w:tcW w:w="5562" w:type="dxa"/>
            <w:gridSpan w:val="2"/>
          </w:tcPr>
          <w:p w14:paraId="09211B29" w14:textId="699429E9" w:rsidR="00233CFC" w:rsidRDefault="001A0D7E">
            <w:pPr>
              <w:pStyle w:val="TableParagraph"/>
              <w:spacing w:before="53" w:line="322" w:lineRule="exact"/>
              <w:ind w:left="179" w:right="79"/>
              <w:rPr>
                <w:sz w:val="28"/>
              </w:rPr>
            </w:pPr>
            <w:r>
              <w:rPr>
                <w:sz w:val="28"/>
              </w:rPr>
              <w:t>Produced on behalf of the Safeguarding Partners and presented by the Independent</w:t>
            </w:r>
            <w:r>
              <w:rPr>
                <w:spacing w:val="-9"/>
                <w:sz w:val="28"/>
              </w:rPr>
              <w:t xml:space="preserve"> </w:t>
            </w:r>
            <w:r>
              <w:rPr>
                <w:sz w:val="28"/>
              </w:rPr>
              <w:t>Chair</w:t>
            </w:r>
            <w:r>
              <w:rPr>
                <w:spacing w:val="-11"/>
                <w:sz w:val="28"/>
              </w:rPr>
              <w:t xml:space="preserve"> </w:t>
            </w:r>
            <w:r>
              <w:rPr>
                <w:sz w:val="28"/>
              </w:rPr>
              <w:t>of</w:t>
            </w:r>
            <w:r>
              <w:rPr>
                <w:spacing w:val="-7"/>
                <w:sz w:val="28"/>
              </w:rPr>
              <w:t xml:space="preserve"> </w:t>
            </w:r>
            <w:r>
              <w:rPr>
                <w:sz w:val="28"/>
              </w:rPr>
              <w:t>HSCB</w:t>
            </w:r>
            <w:r w:rsidR="001A7156">
              <w:rPr>
                <w:sz w:val="28"/>
              </w:rPr>
              <w:t xml:space="preserve"> and Independent Scrutineer of the HSAB, </w:t>
            </w:r>
            <w:r>
              <w:rPr>
                <w:sz w:val="28"/>
              </w:rPr>
              <w:t>Chris</w:t>
            </w:r>
            <w:r>
              <w:rPr>
                <w:spacing w:val="-6"/>
                <w:sz w:val="28"/>
              </w:rPr>
              <w:t xml:space="preserve"> </w:t>
            </w:r>
            <w:r>
              <w:rPr>
                <w:sz w:val="28"/>
              </w:rPr>
              <w:t>Miller</w:t>
            </w:r>
          </w:p>
        </w:tc>
      </w:tr>
      <w:tr w:rsidR="00233CFC" w14:paraId="66BD5A5F" w14:textId="77777777" w:rsidTr="001A0D7E">
        <w:trPr>
          <w:trHeight w:val="594"/>
        </w:trPr>
        <w:tc>
          <w:tcPr>
            <w:tcW w:w="3385" w:type="dxa"/>
          </w:tcPr>
          <w:p w14:paraId="54A4770B" w14:textId="77777777" w:rsidR="001A0D7E" w:rsidRDefault="001A0D7E">
            <w:pPr>
              <w:pStyle w:val="TableParagraph"/>
              <w:spacing w:before="2"/>
              <w:ind w:left="108"/>
              <w:rPr>
                <w:rFonts w:ascii="Arial Black"/>
                <w:spacing w:val="-2"/>
                <w:sz w:val="28"/>
              </w:rPr>
            </w:pPr>
          </w:p>
          <w:p w14:paraId="7E7C22E8" w14:textId="7540DE7E" w:rsidR="00233CFC" w:rsidRDefault="001A0D7E">
            <w:pPr>
              <w:pStyle w:val="TableParagraph"/>
              <w:spacing w:before="2"/>
              <w:ind w:left="108"/>
              <w:rPr>
                <w:rFonts w:ascii="Arial Black"/>
                <w:sz w:val="28"/>
              </w:rPr>
            </w:pPr>
            <w:r>
              <w:rPr>
                <w:rFonts w:ascii="Arial Black"/>
                <w:spacing w:val="-2"/>
                <w:sz w:val="28"/>
              </w:rPr>
              <w:t>Public:</w:t>
            </w:r>
          </w:p>
        </w:tc>
        <w:tc>
          <w:tcPr>
            <w:tcW w:w="5562" w:type="dxa"/>
            <w:gridSpan w:val="2"/>
          </w:tcPr>
          <w:p w14:paraId="3EC646BE" w14:textId="77777777" w:rsidR="001A0D7E" w:rsidRDefault="001A0D7E">
            <w:pPr>
              <w:pStyle w:val="TableParagraph"/>
              <w:ind w:left="179"/>
              <w:rPr>
                <w:spacing w:val="-5"/>
                <w:sz w:val="28"/>
              </w:rPr>
            </w:pPr>
          </w:p>
          <w:p w14:paraId="7B542932" w14:textId="693B3349" w:rsidR="00233CFC" w:rsidRDefault="00C90D8A" w:rsidP="00C90D8A">
            <w:pPr>
              <w:pStyle w:val="TableParagraph"/>
              <w:rPr>
                <w:sz w:val="28"/>
              </w:rPr>
            </w:pPr>
            <w:r>
              <w:rPr>
                <w:spacing w:val="-5"/>
                <w:sz w:val="28"/>
              </w:rPr>
              <w:t xml:space="preserve"> </w:t>
            </w:r>
            <w:r w:rsidR="001A0D7E">
              <w:rPr>
                <w:spacing w:val="-5"/>
                <w:sz w:val="28"/>
              </w:rPr>
              <w:t>Yes</w:t>
            </w:r>
          </w:p>
        </w:tc>
      </w:tr>
      <w:tr w:rsidR="00233CFC" w14:paraId="7E7C6DFE" w14:textId="77777777" w:rsidTr="001A0D7E">
        <w:trPr>
          <w:trHeight w:val="954"/>
        </w:trPr>
        <w:tc>
          <w:tcPr>
            <w:tcW w:w="3385" w:type="dxa"/>
          </w:tcPr>
          <w:p w14:paraId="0940EE6B" w14:textId="77777777" w:rsidR="00233CFC" w:rsidRDefault="001A0D7E">
            <w:pPr>
              <w:pStyle w:val="TableParagraph"/>
              <w:spacing w:before="197"/>
              <w:ind w:left="108"/>
              <w:rPr>
                <w:rFonts w:ascii="Arial Black"/>
                <w:sz w:val="28"/>
              </w:rPr>
            </w:pPr>
            <w:r>
              <w:rPr>
                <w:rFonts w:ascii="Arial Black"/>
                <w:sz w:val="28"/>
              </w:rPr>
              <w:t>Wards</w:t>
            </w:r>
            <w:r>
              <w:rPr>
                <w:rFonts w:ascii="Arial Black"/>
                <w:spacing w:val="-1"/>
                <w:sz w:val="28"/>
              </w:rPr>
              <w:t xml:space="preserve"> </w:t>
            </w:r>
            <w:r>
              <w:rPr>
                <w:rFonts w:ascii="Arial Black"/>
                <w:spacing w:val="-2"/>
                <w:sz w:val="28"/>
              </w:rPr>
              <w:t>affected:</w:t>
            </w:r>
          </w:p>
        </w:tc>
        <w:tc>
          <w:tcPr>
            <w:tcW w:w="5562" w:type="dxa"/>
            <w:gridSpan w:val="2"/>
          </w:tcPr>
          <w:p w14:paraId="1B0734AC" w14:textId="1F2B5F39" w:rsidR="00233CFC" w:rsidRDefault="00C90D8A" w:rsidP="00C90D8A">
            <w:pPr>
              <w:pStyle w:val="TableParagraph"/>
              <w:spacing w:before="195"/>
              <w:rPr>
                <w:sz w:val="28"/>
              </w:rPr>
            </w:pPr>
            <w:r>
              <w:rPr>
                <w:sz w:val="28"/>
              </w:rPr>
              <w:t xml:space="preserve"> </w:t>
            </w:r>
            <w:r w:rsidR="001A0D7E">
              <w:rPr>
                <w:sz w:val="28"/>
              </w:rPr>
              <w:t>Not</w:t>
            </w:r>
            <w:r w:rsidR="001A0D7E">
              <w:rPr>
                <w:spacing w:val="-4"/>
                <w:sz w:val="28"/>
              </w:rPr>
              <w:t xml:space="preserve"> </w:t>
            </w:r>
            <w:r w:rsidR="001A0D7E">
              <w:rPr>
                <w:spacing w:val="-2"/>
                <w:sz w:val="28"/>
              </w:rPr>
              <w:t>applicable</w:t>
            </w:r>
          </w:p>
        </w:tc>
      </w:tr>
      <w:tr w:rsidR="00233CFC" w14:paraId="242F87BA" w14:textId="77777777" w:rsidTr="001A0D7E">
        <w:trPr>
          <w:trHeight w:val="822"/>
        </w:trPr>
        <w:tc>
          <w:tcPr>
            <w:tcW w:w="3385" w:type="dxa"/>
          </w:tcPr>
          <w:p w14:paraId="0E3F75A1" w14:textId="77777777" w:rsidR="00233CFC" w:rsidRDefault="001A0D7E">
            <w:pPr>
              <w:pStyle w:val="TableParagraph"/>
              <w:spacing w:before="1" w:line="375" w:lineRule="exact"/>
              <w:ind w:left="108"/>
              <w:rPr>
                <w:rFonts w:ascii="Arial Black"/>
                <w:sz w:val="28"/>
              </w:rPr>
            </w:pPr>
            <w:r>
              <w:rPr>
                <w:rFonts w:ascii="Arial Black"/>
                <w:spacing w:val="-2"/>
                <w:sz w:val="28"/>
              </w:rPr>
              <w:t>Enclosures:</w:t>
            </w:r>
          </w:p>
        </w:tc>
        <w:tc>
          <w:tcPr>
            <w:tcW w:w="5562" w:type="dxa"/>
            <w:gridSpan w:val="2"/>
          </w:tcPr>
          <w:p w14:paraId="41DF0780" w14:textId="5DF0D02B" w:rsidR="00233CFC" w:rsidRDefault="00C90D8A" w:rsidP="00C90D8A">
            <w:pPr>
              <w:pStyle w:val="TableParagraph"/>
              <w:spacing w:before="1"/>
              <w:rPr>
                <w:sz w:val="28"/>
              </w:rPr>
            </w:pPr>
            <w:r>
              <w:rPr>
                <w:sz w:val="28"/>
              </w:rPr>
              <w:t xml:space="preserve"> </w:t>
            </w:r>
            <w:r w:rsidR="001A0D7E">
              <w:rPr>
                <w:sz w:val="28"/>
              </w:rPr>
              <w:t xml:space="preserve">HSP Annual </w:t>
            </w:r>
            <w:r w:rsidR="001A0D7E">
              <w:rPr>
                <w:spacing w:val="-2"/>
                <w:sz w:val="28"/>
              </w:rPr>
              <w:t>Report</w:t>
            </w:r>
          </w:p>
        </w:tc>
      </w:tr>
      <w:tr w:rsidR="00233CFC" w14:paraId="36D1C3CD" w14:textId="77777777" w:rsidTr="001A0D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49" w:type="dxa"/>
          <w:trHeight w:val="725"/>
        </w:trPr>
        <w:tc>
          <w:tcPr>
            <w:tcW w:w="8898" w:type="dxa"/>
            <w:gridSpan w:val="2"/>
            <w:tcBorders>
              <w:top w:val="nil"/>
              <w:left w:val="nil"/>
              <w:right w:val="nil"/>
            </w:tcBorders>
          </w:tcPr>
          <w:p w14:paraId="33D2BE0D" w14:textId="77777777" w:rsidR="00233CFC" w:rsidRDefault="001A0D7E">
            <w:pPr>
              <w:pStyle w:val="TableParagraph"/>
              <w:spacing w:line="450" w:lineRule="exact"/>
              <w:ind w:left="112"/>
              <w:rPr>
                <w:rFonts w:ascii="Arial Black" w:hAnsi="Arial Black"/>
                <w:sz w:val="32"/>
              </w:rPr>
            </w:pPr>
            <w:r>
              <w:rPr>
                <w:rFonts w:ascii="Arial Black" w:hAnsi="Arial Black"/>
                <w:sz w:val="32"/>
              </w:rPr>
              <w:t>Section</w:t>
            </w:r>
            <w:r>
              <w:rPr>
                <w:rFonts w:ascii="Arial Black" w:hAnsi="Arial Black"/>
                <w:spacing w:val="-10"/>
                <w:sz w:val="32"/>
              </w:rPr>
              <w:t xml:space="preserve"> </w:t>
            </w:r>
            <w:r>
              <w:rPr>
                <w:rFonts w:ascii="Arial Black" w:hAnsi="Arial Black"/>
                <w:sz w:val="32"/>
              </w:rPr>
              <w:t>1</w:t>
            </w:r>
            <w:r>
              <w:rPr>
                <w:rFonts w:ascii="Arial Black" w:hAnsi="Arial Black"/>
                <w:spacing w:val="-7"/>
                <w:sz w:val="32"/>
              </w:rPr>
              <w:t xml:space="preserve"> </w:t>
            </w:r>
            <w:r>
              <w:rPr>
                <w:rFonts w:ascii="Arial Black" w:hAnsi="Arial Black"/>
                <w:sz w:val="32"/>
              </w:rPr>
              <w:t>–</w:t>
            </w:r>
            <w:r>
              <w:rPr>
                <w:rFonts w:ascii="Arial Black" w:hAnsi="Arial Black"/>
                <w:spacing w:val="-8"/>
                <w:sz w:val="32"/>
              </w:rPr>
              <w:t xml:space="preserve"> </w:t>
            </w:r>
            <w:r>
              <w:rPr>
                <w:rFonts w:ascii="Arial Black" w:hAnsi="Arial Black"/>
                <w:sz w:val="32"/>
              </w:rPr>
              <w:t>Summary</w:t>
            </w:r>
            <w:r>
              <w:rPr>
                <w:rFonts w:ascii="Arial Black" w:hAnsi="Arial Black"/>
                <w:spacing w:val="-8"/>
                <w:sz w:val="32"/>
              </w:rPr>
              <w:t xml:space="preserve"> </w:t>
            </w:r>
            <w:r>
              <w:rPr>
                <w:rFonts w:ascii="Arial Black" w:hAnsi="Arial Black"/>
                <w:sz w:val="32"/>
              </w:rPr>
              <w:t>and</w:t>
            </w:r>
            <w:r>
              <w:rPr>
                <w:rFonts w:ascii="Arial Black" w:hAnsi="Arial Black"/>
                <w:spacing w:val="-7"/>
                <w:sz w:val="32"/>
              </w:rPr>
              <w:t xml:space="preserve"> </w:t>
            </w:r>
            <w:r>
              <w:rPr>
                <w:rFonts w:ascii="Arial Black" w:hAnsi="Arial Black"/>
                <w:spacing w:val="-2"/>
                <w:sz w:val="32"/>
              </w:rPr>
              <w:t>Recommendations</w:t>
            </w:r>
          </w:p>
        </w:tc>
      </w:tr>
      <w:tr w:rsidR="00233CFC" w14:paraId="6F3DB9E1" w14:textId="77777777" w:rsidTr="001A0D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49" w:type="dxa"/>
        </w:trPr>
        <w:tc>
          <w:tcPr>
            <w:tcW w:w="8898" w:type="dxa"/>
            <w:gridSpan w:val="2"/>
          </w:tcPr>
          <w:p w14:paraId="50508E6F" w14:textId="6F3CD769" w:rsidR="00FC16B8" w:rsidRPr="0057016A" w:rsidRDefault="00FC16B8" w:rsidP="00FC16B8">
            <w:pPr>
              <w:ind w:left="164"/>
              <w:rPr>
                <w:sz w:val="24"/>
                <w:szCs w:val="24"/>
              </w:rPr>
            </w:pPr>
            <w:bookmarkStart w:id="0" w:name="_Hlk148523640"/>
            <w:r>
              <w:rPr>
                <w:sz w:val="24"/>
                <w:szCs w:val="24"/>
              </w:rPr>
              <w:t xml:space="preserve">This </w:t>
            </w:r>
            <w:r w:rsidRPr="0057016A">
              <w:rPr>
                <w:sz w:val="24"/>
                <w:szCs w:val="24"/>
              </w:rPr>
              <w:t xml:space="preserve">Harrow Safeguarding </w:t>
            </w:r>
            <w:r>
              <w:rPr>
                <w:sz w:val="24"/>
                <w:szCs w:val="24"/>
              </w:rPr>
              <w:t xml:space="preserve">Annual </w:t>
            </w:r>
            <w:r w:rsidRPr="0057016A">
              <w:rPr>
                <w:sz w:val="24"/>
                <w:szCs w:val="24"/>
              </w:rPr>
              <w:t xml:space="preserve">Report </w:t>
            </w:r>
            <w:r>
              <w:rPr>
                <w:sz w:val="24"/>
                <w:szCs w:val="24"/>
              </w:rPr>
              <w:t>covers</w:t>
            </w:r>
            <w:r w:rsidRPr="0057016A">
              <w:rPr>
                <w:sz w:val="24"/>
                <w:szCs w:val="24"/>
              </w:rPr>
              <w:t xml:space="preserve"> the work </w:t>
            </w:r>
            <w:r>
              <w:rPr>
                <w:sz w:val="24"/>
                <w:szCs w:val="24"/>
              </w:rPr>
              <w:t xml:space="preserve">of the partnership </w:t>
            </w:r>
            <w:r w:rsidRPr="0057016A">
              <w:rPr>
                <w:sz w:val="24"/>
                <w:szCs w:val="24"/>
              </w:rPr>
              <w:t xml:space="preserve">to safeguard both adults and children. </w:t>
            </w:r>
            <w:r>
              <w:rPr>
                <w:sz w:val="24"/>
                <w:szCs w:val="24"/>
              </w:rPr>
              <w:t xml:space="preserve">This </w:t>
            </w:r>
            <w:r w:rsidR="005B2940">
              <w:rPr>
                <w:sz w:val="24"/>
                <w:szCs w:val="24"/>
              </w:rPr>
              <w:t xml:space="preserve">joint report </w:t>
            </w:r>
            <w:r w:rsidRPr="0057016A">
              <w:rPr>
                <w:sz w:val="24"/>
                <w:szCs w:val="24"/>
              </w:rPr>
              <w:t xml:space="preserve">reflects the integration of the support structures and funding for the Partnership as well as the joint work to strengthen awareness and understanding of safeguarding issues as they impact on all members of the family – so that children’s services </w:t>
            </w:r>
            <w:proofErr w:type="gramStart"/>
            <w:r w:rsidRPr="0057016A">
              <w:rPr>
                <w:sz w:val="24"/>
                <w:szCs w:val="24"/>
              </w:rPr>
              <w:t>are able to</w:t>
            </w:r>
            <w:proofErr w:type="gramEnd"/>
            <w:r w:rsidRPr="0057016A">
              <w:rPr>
                <w:sz w:val="24"/>
                <w:szCs w:val="24"/>
              </w:rPr>
              <w:t xml:space="preserve"> identify and refer safeguarding concerns to adult services and vice versa. </w:t>
            </w:r>
            <w:r w:rsidRPr="0057016A">
              <w:rPr>
                <w:sz w:val="24"/>
                <w:szCs w:val="24"/>
              </w:rPr>
              <w:br/>
            </w:r>
          </w:p>
          <w:p w14:paraId="3D752798" w14:textId="77777777" w:rsidR="00FC16B8" w:rsidRDefault="00FC16B8" w:rsidP="00FC16B8">
            <w:pPr>
              <w:ind w:left="164"/>
              <w:rPr>
                <w:sz w:val="24"/>
                <w:szCs w:val="24"/>
              </w:rPr>
            </w:pPr>
            <w:r w:rsidRPr="0057016A">
              <w:rPr>
                <w:sz w:val="24"/>
                <w:szCs w:val="24"/>
              </w:rPr>
              <w:t xml:space="preserve">It focuses on the activity of the Partnership carried out through the work of the sub-groups and the work of Board members to deliver Partnership objectives in their own services. </w:t>
            </w:r>
          </w:p>
          <w:bookmarkEnd w:id="0"/>
          <w:p w14:paraId="17BD2078" w14:textId="77777777" w:rsidR="00233CFC" w:rsidRDefault="00233CFC">
            <w:pPr>
              <w:pStyle w:val="TableParagraph"/>
              <w:spacing w:before="1"/>
              <w:rPr>
                <w:rFonts w:ascii="Times New Roman"/>
                <w:sz w:val="24"/>
              </w:rPr>
            </w:pPr>
          </w:p>
          <w:p w14:paraId="4D936A91" w14:textId="77777777" w:rsidR="00233CFC" w:rsidRDefault="001A0D7E" w:rsidP="001A0D7E">
            <w:pPr>
              <w:pStyle w:val="TableParagraph"/>
              <w:spacing w:before="1" w:line="321" w:lineRule="exact"/>
              <w:ind w:left="164"/>
              <w:rPr>
                <w:b/>
                <w:sz w:val="28"/>
              </w:rPr>
            </w:pPr>
            <w:r>
              <w:rPr>
                <w:b/>
                <w:spacing w:val="-2"/>
                <w:sz w:val="28"/>
              </w:rPr>
              <w:t>Recommendations:</w:t>
            </w:r>
          </w:p>
          <w:p w14:paraId="37C26D9D" w14:textId="6EBBCC37" w:rsidR="001A0D7E" w:rsidRPr="001A0D7E" w:rsidRDefault="001A0D7E" w:rsidP="001A0D7E">
            <w:pPr>
              <w:ind w:left="164"/>
              <w:rPr>
                <w:sz w:val="24"/>
                <w:szCs w:val="24"/>
              </w:rPr>
            </w:pPr>
            <w:r w:rsidRPr="001A0D7E">
              <w:rPr>
                <w:sz w:val="24"/>
                <w:szCs w:val="24"/>
              </w:rPr>
              <w:t>The Board is requested to</w:t>
            </w:r>
            <w:r>
              <w:rPr>
                <w:sz w:val="24"/>
                <w:szCs w:val="24"/>
              </w:rPr>
              <w:t xml:space="preserve"> c</w:t>
            </w:r>
            <w:r w:rsidRPr="001A0D7E">
              <w:rPr>
                <w:sz w:val="24"/>
                <w:szCs w:val="24"/>
              </w:rPr>
              <w:t>omment on and endorse the Annual Report.</w:t>
            </w:r>
          </w:p>
          <w:p w14:paraId="2B6C27C0" w14:textId="612A8879" w:rsidR="00233CFC" w:rsidRDefault="00233CFC">
            <w:pPr>
              <w:pStyle w:val="TableParagraph"/>
              <w:spacing w:line="276" w:lineRule="exact"/>
              <w:ind w:left="107" w:right="184"/>
              <w:rPr>
                <w:sz w:val="24"/>
              </w:rPr>
            </w:pPr>
          </w:p>
        </w:tc>
      </w:tr>
    </w:tbl>
    <w:p w14:paraId="49F9B064" w14:textId="77777777" w:rsidR="00C90D8A" w:rsidRDefault="00C90D8A" w:rsidP="00C90D8A">
      <w:pPr>
        <w:pStyle w:val="Heading1"/>
        <w:spacing w:before="75"/>
        <w:ind w:left="0"/>
      </w:pPr>
    </w:p>
    <w:p w14:paraId="31513753" w14:textId="77777777" w:rsidR="005B2940" w:rsidRDefault="005B2940">
      <w:pPr>
        <w:rPr>
          <w:rFonts w:ascii="Arial Black" w:eastAsia="Arial Black" w:hAnsi="Arial Black" w:cs="Arial Black"/>
          <w:sz w:val="32"/>
          <w:szCs w:val="32"/>
        </w:rPr>
      </w:pPr>
      <w:r>
        <w:br w:type="page"/>
      </w:r>
    </w:p>
    <w:p w14:paraId="7710E992" w14:textId="4744B143" w:rsidR="00C90D8A" w:rsidRDefault="00C90D8A" w:rsidP="00C90D8A">
      <w:pPr>
        <w:pStyle w:val="Heading1"/>
        <w:spacing w:before="75"/>
        <w:ind w:left="0"/>
      </w:pPr>
      <w:r>
        <w:lastRenderedPageBreak/>
        <w:t>Section</w:t>
      </w:r>
      <w:r>
        <w:rPr>
          <w:spacing w:val="-8"/>
        </w:rPr>
        <w:t xml:space="preserve"> </w:t>
      </w:r>
      <w:r>
        <w:t>2</w:t>
      </w:r>
      <w:r>
        <w:rPr>
          <w:spacing w:val="-5"/>
        </w:rPr>
        <w:t xml:space="preserve"> </w:t>
      </w:r>
      <w:r>
        <w:t>–</w:t>
      </w:r>
      <w:r>
        <w:rPr>
          <w:spacing w:val="-7"/>
        </w:rPr>
        <w:t xml:space="preserve"> </w:t>
      </w:r>
      <w:r>
        <w:rPr>
          <w:spacing w:val="-2"/>
        </w:rPr>
        <w:t>Report</w:t>
      </w:r>
    </w:p>
    <w:p w14:paraId="5EDD7CE0" w14:textId="77777777" w:rsidR="00C90D8A" w:rsidRPr="00C27A07" w:rsidRDefault="00C90D8A" w:rsidP="00C90D8A">
      <w:pPr>
        <w:pStyle w:val="Heading2"/>
        <w:spacing w:before="272"/>
        <w:rPr>
          <w:rFonts w:ascii="Arial Black" w:hAnsi="Arial Black"/>
          <w:sz w:val="32"/>
          <w:szCs w:val="32"/>
        </w:rPr>
      </w:pPr>
      <w:r w:rsidRPr="00C27A07">
        <w:rPr>
          <w:rFonts w:ascii="Arial Black" w:hAnsi="Arial Black"/>
          <w:sz w:val="32"/>
          <w:szCs w:val="32"/>
        </w:rPr>
        <w:t>Ward</w:t>
      </w:r>
      <w:r w:rsidRPr="00C27A07">
        <w:rPr>
          <w:rFonts w:ascii="Arial Black" w:hAnsi="Arial Black"/>
          <w:spacing w:val="-10"/>
          <w:sz w:val="32"/>
          <w:szCs w:val="32"/>
        </w:rPr>
        <w:t xml:space="preserve"> </w:t>
      </w:r>
      <w:proofErr w:type="spellStart"/>
      <w:r w:rsidRPr="00C27A07">
        <w:rPr>
          <w:rFonts w:ascii="Arial Black" w:hAnsi="Arial Black"/>
          <w:sz w:val="32"/>
          <w:szCs w:val="32"/>
        </w:rPr>
        <w:t>Councillors’</w:t>
      </w:r>
      <w:proofErr w:type="spellEnd"/>
      <w:r w:rsidRPr="00C27A07">
        <w:rPr>
          <w:rFonts w:ascii="Arial Black" w:hAnsi="Arial Black"/>
          <w:spacing w:val="-9"/>
          <w:sz w:val="32"/>
          <w:szCs w:val="32"/>
        </w:rPr>
        <w:t xml:space="preserve"> </w:t>
      </w:r>
      <w:r w:rsidRPr="00C27A07">
        <w:rPr>
          <w:rFonts w:ascii="Arial Black" w:hAnsi="Arial Black"/>
          <w:spacing w:val="-2"/>
          <w:sz w:val="32"/>
          <w:szCs w:val="32"/>
        </w:rPr>
        <w:t>comments</w:t>
      </w:r>
    </w:p>
    <w:p w14:paraId="720C7A82" w14:textId="35FF6A1E" w:rsidR="00C90D8A" w:rsidRDefault="00C90D8A" w:rsidP="00C90D8A">
      <w:pPr>
        <w:pStyle w:val="BodyText"/>
        <w:ind w:left="220"/>
        <w:rPr>
          <w:bCs/>
        </w:rPr>
      </w:pPr>
      <w:r w:rsidRPr="00E4224A">
        <w:rPr>
          <w:bCs/>
        </w:rPr>
        <w:t>Not applicable</w:t>
      </w:r>
    </w:p>
    <w:p w14:paraId="2296C875" w14:textId="77777777" w:rsidR="00C10A6C" w:rsidRPr="00E4224A" w:rsidRDefault="00C10A6C" w:rsidP="00C90D8A">
      <w:pPr>
        <w:pStyle w:val="BodyText"/>
        <w:ind w:left="220"/>
        <w:rPr>
          <w:bCs/>
        </w:rPr>
      </w:pPr>
    </w:p>
    <w:p w14:paraId="63C4C4F6" w14:textId="77777777" w:rsidR="00C90D8A" w:rsidRPr="00C27A07" w:rsidRDefault="00C90D8A" w:rsidP="00C90D8A">
      <w:pPr>
        <w:spacing w:before="207"/>
        <w:ind w:left="220"/>
        <w:rPr>
          <w:rFonts w:ascii="Arial Black" w:hAnsi="Arial Black"/>
          <w:b/>
          <w:sz w:val="32"/>
          <w:szCs w:val="32"/>
        </w:rPr>
      </w:pPr>
      <w:r w:rsidRPr="00C27A07">
        <w:rPr>
          <w:rFonts w:ascii="Arial Black" w:hAnsi="Arial Black"/>
          <w:b/>
          <w:sz w:val="32"/>
          <w:szCs w:val="32"/>
        </w:rPr>
        <w:t>Financial</w:t>
      </w:r>
      <w:r w:rsidRPr="00C27A07">
        <w:rPr>
          <w:rFonts w:ascii="Arial Black" w:hAnsi="Arial Black"/>
          <w:b/>
          <w:spacing w:val="-7"/>
          <w:sz w:val="32"/>
          <w:szCs w:val="32"/>
        </w:rPr>
        <w:t xml:space="preserve"> </w:t>
      </w:r>
      <w:r w:rsidRPr="00C27A07">
        <w:rPr>
          <w:rFonts w:ascii="Arial Black" w:hAnsi="Arial Black"/>
          <w:b/>
          <w:spacing w:val="-2"/>
          <w:sz w:val="32"/>
          <w:szCs w:val="32"/>
        </w:rPr>
        <w:t>Implications/Comments</w:t>
      </w:r>
    </w:p>
    <w:p w14:paraId="0EC4F566" w14:textId="77777777" w:rsidR="00C90D8A" w:rsidRDefault="00C90D8A" w:rsidP="00C90D8A">
      <w:pPr>
        <w:pStyle w:val="BodyText"/>
        <w:ind w:left="220" w:right="692"/>
        <w:rPr>
          <w:spacing w:val="80"/>
        </w:rPr>
      </w:pPr>
      <w:r>
        <w:t>The</w:t>
      </w:r>
      <w:r>
        <w:rPr>
          <w:spacing w:val="-3"/>
        </w:rPr>
        <w:t xml:space="preserve"> </w:t>
      </w:r>
      <w:r>
        <w:t>Harrow</w:t>
      </w:r>
      <w:r>
        <w:rPr>
          <w:spacing w:val="-6"/>
        </w:rPr>
        <w:t xml:space="preserve"> </w:t>
      </w:r>
      <w:r>
        <w:t>Safeguarding</w:t>
      </w:r>
      <w:r>
        <w:rPr>
          <w:spacing w:val="-5"/>
        </w:rPr>
        <w:t xml:space="preserve"> </w:t>
      </w:r>
      <w:r>
        <w:t>Partnership</w:t>
      </w:r>
      <w:r>
        <w:rPr>
          <w:spacing w:val="-3"/>
        </w:rPr>
        <w:t xml:space="preserve"> </w:t>
      </w:r>
      <w:r>
        <w:t>budget</w:t>
      </w:r>
      <w:r>
        <w:rPr>
          <w:spacing w:val="-6"/>
        </w:rPr>
        <w:t xml:space="preserve"> </w:t>
      </w:r>
      <w:r>
        <w:t>is</w:t>
      </w:r>
      <w:r>
        <w:rPr>
          <w:spacing w:val="-5"/>
        </w:rPr>
        <w:t xml:space="preserve"> </w:t>
      </w:r>
      <w:r>
        <w:t>included</w:t>
      </w:r>
      <w:r>
        <w:rPr>
          <w:spacing w:val="-4"/>
        </w:rPr>
        <w:t xml:space="preserve"> </w:t>
      </w:r>
      <w:r>
        <w:t>in</w:t>
      </w:r>
      <w:r>
        <w:rPr>
          <w:spacing w:val="-4"/>
        </w:rPr>
        <w:t xml:space="preserve"> </w:t>
      </w:r>
      <w:r>
        <w:t>the</w:t>
      </w:r>
      <w:r>
        <w:rPr>
          <w:spacing w:val="-6"/>
        </w:rPr>
        <w:t xml:space="preserve"> </w:t>
      </w:r>
      <w:r>
        <w:t>appendices</w:t>
      </w:r>
      <w:r>
        <w:rPr>
          <w:spacing w:val="-6"/>
        </w:rPr>
        <w:t xml:space="preserve"> </w:t>
      </w:r>
      <w:r>
        <w:t>of the annual report.</w:t>
      </w:r>
      <w:r>
        <w:rPr>
          <w:spacing w:val="80"/>
        </w:rPr>
        <w:t xml:space="preserve"> </w:t>
      </w:r>
    </w:p>
    <w:p w14:paraId="35071057" w14:textId="77777777" w:rsidR="00C90D8A" w:rsidRDefault="00C90D8A" w:rsidP="00C90D8A">
      <w:pPr>
        <w:pStyle w:val="BodyText"/>
        <w:ind w:left="220" w:right="692"/>
        <w:rPr>
          <w:spacing w:val="80"/>
        </w:rPr>
      </w:pPr>
    </w:p>
    <w:p w14:paraId="6B0A9B9D" w14:textId="3A2BF848" w:rsidR="00C90D8A" w:rsidRDefault="00C90D8A" w:rsidP="00C90D8A">
      <w:pPr>
        <w:pStyle w:val="BodyText"/>
        <w:ind w:left="220" w:right="692"/>
      </w:pPr>
      <w:r w:rsidRPr="008A25CE">
        <w:t xml:space="preserve">The </w:t>
      </w:r>
      <w:r w:rsidR="00F34D7E">
        <w:t>Harrow Strategic Safeguarding Partnership expenditure</w:t>
      </w:r>
      <w:r w:rsidRPr="008A25CE">
        <w:t xml:space="preserve"> </w:t>
      </w:r>
      <w:r w:rsidR="00FC16B8">
        <w:t>2022-23</w:t>
      </w:r>
      <w:r w:rsidRPr="008A25CE">
        <w:t xml:space="preserve"> </w:t>
      </w:r>
      <w:r w:rsidR="00F34D7E" w:rsidRPr="008A25CE">
        <w:t>total</w:t>
      </w:r>
      <w:r w:rsidR="00F34D7E">
        <w:t>l</w:t>
      </w:r>
      <w:r w:rsidR="00F34D7E" w:rsidRPr="008A25CE">
        <w:t>ed</w:t>
      </w:r>
      <w:r w:rsidRPr="008A25CE">
        <w:t xml:space="preserve"> </w:t>
      </w:r>
      <w:r w:rsidR="00F34D7E">
        <w:t>£235k</w:t>
      </w:r>
      <w:r w:rsidRPr="008A25CE">
        <w:t xml:space="preserve"> of which £</w:t>
      </w:r>
      <w:r w:rsidR="00FC16B8">
        <w:t>72</w:t>
      </w:r>
      <w:r w:rsidRPr="008A25CE">
        <w:t>k was funded by partner contributions</w:t>
      </w:r>
      <w:r>
        <w:t>, leaving the balance of £</w:t>
      </w:r>
      <w:r w:rsidR="00FC16B8">
        <w:t>163</w:t>
      </w:r>
      <w:r>
        <w:t>k funded by the Council.</w:t>
      </w:r>
    </w:p>
    <w:p w14:paraId="1100D737" w14:textId="77777777" w:rsidR="00C90D8A" w:rsidRDefault="00C90D8A" w:rsidP="00C90D8A">
      <w:pPr>
        <w:pStyle w:val="BodyText"/>
        <w:ind w:left="220" w:right="692"/>
      </w:pPr>
    </w:p>
    <w:p w14:paraId="6DB8256D" w14:textId="77777777" w:rsidR="00C90D8A" w:rsidRPr="008A25CE" w:rsidRDefault="00C90D8A" w:rsidP="00C90D8A">
      <w:pPr>
        <w:pStyle w:val="BodyText"/>
        <w:ind w:left="220" w:right="692"/>
      </w:pPr>
      <w:r w:rsidRPr="008A25CE">
        <w:t xml:space="preserve">There are no financial implications arising </w:t>
      </w:r>
      <w:proofErr w:type="gramStart"/>
      <w:r w:rsidRPr="008A25CE">
        <w:t>as a result of</w:t>
      </w:r>
      <w:proofErr w:type="gramEnd"/>
      <w:r w:rsidRPr="008A25CE">
        <w:t xml:space="preserve"> this report.</w:t>
      </w:r>
    </w:p>
    <w:p w14:paraId="4C80B15F" w14:textId="77777777" w:rsidR="00C90D8A" w:rsidRDefault="00C90D8A" w:rsidP="00C90D8A">
      <w:pPr>
        <w:pStyle w:val="BodyText"/>
        <w:spacing w:before="1"/>
      </w:pPr>
    </w:p>
    <w:p w14:paraId="00215D36" w14:textId="77777777" w:rsidR="00C90D8A" w:rsidRPr="00C27A07" w:rsidRDefault="00C90D8A" w:rsidP="00C90D8A">
      <w:pPr>
        <w:pStyle w:val="Heading2"/>
        <w:rPr>
          <w:rFonts w:ascii="Arial Black" w:hAnsi="Arial Black"/>
          <w:sz w:val="32"/>
          <w:szCs w:val="32"/>
        </w:rPr>
      </w:pPr>
      <w:r w:rsidRPr="00C27A07">
        <w:rPr>
          <w:rFonts w:ascii="Arial Black" w:hAnsi="Arial Black"/>
          <w:sz w:val="32"/>
          <w:szCs w:val="32"/>
        </w:rPr>
        <w:t>Legal</w:t>
      </w:r>
      <w:r w:rsidRPr="00C27A07">
        <w:rPr>
          <w:rFonts w:ascii="Arial Black" w:hAnsi="Arial Black"/>
          <w:spacing w:val="-3"/>
          <w:sz w:val="32"/>
          <w:szCs w:val="32"/>
        </w:rPr>
        <w:t xml:space="preserve"> </w:t>
      </w:r>
      <w:r w:rsidRPr="00C27A07">
        <w:rPr>
          <w:rFonts w:ascii="Arial Black" w:hAnsi="Arial Black"/>
          <w:spacing w:val="-2"/>
          <w:sz w:val="32"/>
          <w:szCs w:val="32"/>
        </w:rPr>
        <w:t>Implications/Comments</w:t>
      </w:r>
    </w:p>
    <w:p w14:paraId="1B018FF9" w14:textId="77777777" w:rsidR="00C90D8A" w:rsidRDefault="00C90D8A" w:rsidP="00C90D8A">
      <w:pPr>
        <w:pStyle w:val="BodyText"/>
        <w:spacing w:before="1"/>
        <w:ind w:left="220"/>
        <w:rPr>
          <w:rFonts w:eastAsia="Times New Roman"/>
          <w:color w:val="000000"/>
        </w:rPr>
      </w:pPr>
      <w:r w:rsidRPr="008547E3">
        <w:rPr>
          <w:rFonts w:eastAsia="Times New Roman"/>
          <w:color w:val="000000"/>
        </w:rPr>
        <w:t xml:space="preserve">As set out in the Report Summary, </w:t>
      </w:r>
      <w:r>
        <w:rPr>
          <w:rFonts w:eastAsia="Times New Roman"/>
          <w:color w:val="000000"/>
        </w:rPr>
        <w:t>A</w:t>
      </w:r>
      <w:r w:rsidRPr="008547E3">
        <w:rPr>
          <w:rFonts w:eastAsia="Times New Roman"/>
          <w:color w:val="000000"/>
        </w:rPr>
        <w:t xml:space="preserve">nnual </w:t>
      </w:r>
      <w:r>
        <w:rPr>
          <w:rFonts w:eastAsia="Times New Roman"/>
          <w:color w:val="000000"/>
        </w:rPr>
        <w:t>R</w:t>
      </w:r>
      <w:r w:rsidRPr="008547E3">
        <w:rPr>
          <w:rFonts w:eastAsia="Times New Roman"/>
          <w:color w:val="000000"/>
        </w:rPr>
        <w:t>eports are required from the Adults and Children Safeguarding Partners under the terms of the Care Act 2014 and The Children Act 2004 respectively</w:t>
      </w:r>
      <w:r>
        <w:rPr>
          <w:rFonts w:eastAsia="Times New Roman"/>
          <w:color w:val="000000"/>
        </w:rPr>
        <w:t>.</w:t>
      </w:r>
    </w:p>
    <w:p w14:paraId="1CA028AA" w14:textId="77777777" w:rsidR="005B2940" w:rsidRDefault="00C90D8A" w:rsidP="005B2940">
      <w:pPr>
        <w:pStyle w:val="BodyText"/>
        <w:spacing w:before="1"/>
        <w:ind w:left="220"/>
        <w:rPr>
          <w:rFonts w:eastAsia="Times New Roman"/>
          <w:color w:val="000000"/>
        </w:rPr>
      </w:pPr>
      <w:r w:rsidRPr="008547E3">
        <w:rPr>
          <w:rFonts w:eastAsia="Times New Roman"/>
          <w:color w:val="000000"/>
        </w:rPr>
        <w:br/>
        <w:t xml:space="preserve">The key responsibilities for the Health and Wellbeing Board </w:t>
      </w:r>
      <w:proofErr w:type="gramStart"/>
      <w:r w:rsidRPr="008547E3">
        <w:rPr>
          <w:rFonts w:eastAsia="Times New Roman"/>
          <w:color w:val="000000"/>
        </w:rPr>
        <w:t>include</w:t>
      </w:r>
      <w:proofErr w:type="gramEnd"/>
      <w:r w:rsidRPr="008547E3">
        <w:rPr>
          <w:rFonts w:eastAsia="Times New Roman"/>
          <w:color w:val="000000"/>
        </w:rPr>
        <w:t> </w:t>
      </w:r>
    </w:p>
    <w:p w14:paraId="25FD1582" w14:textId="3AC46D41" w:rsidR="00C90D8A" w:rsidRPr="008547E3" w:rsidRDefault="00C90D8A" w:rsidP="005B2940">
      <w:pPr>
        <w:pStyle w:val="BodyText"/>
        <w:spacing w:before="1"/>
        <w:ind w:left="720"/>
        <w:rPr>
          <w:rFonts w:eastAsia="Times New Roman"/>
          <w:color w:val="000000"/>
        </w:rPr>
      </w:pPr>
      <w:r w:rsidRPr="008547E3">
        <w:rPr>
          <w:rFonts w:eastAsia="Times New Roman"/>
          <w:color w:val="000000"/>
        </w:rPr>
        <w:t>3.1.9.       To provide a forum for public accountability of NHS, public health, social care and other health and wellbeing services.</w:t>
      </w:r>
    </w:p>
    <w:p w14:paraId="792EDA1D" w14:textId="77777777" w:rsidR="00C90D8A" w:rsidRDefault="00C90D8A" w:rsidP="00C90D8A">
      <w:pPr>
        <w:pStyle w:val="BodyText"/>
        <w:spacing w:before="1"/>
        <w:ind w:left="220"/>
      </w:pPr>
    </w:p>
    <w:p w14:paraId="15728C17" w14:textId="77777777" w:rsidR="00C90D8A" w:rsidRPr="00C27A07" w:rsidRDefault="00C90D8A" w:rsidP="00C90D8A">
      <w:pPr>
        <w:pStyle w:val="Heading2"/>
        <w:rPr>
          <w:rFonts w:ascii="Arial Black" w:hAnsi="Arial Black"/>
          <w:sz w:val="32"/>
          <w:szCs w:val="32"/>
        </w:rPr>
      </w:pPr>
      <w:r w:rsidRPr="00C27A07">
        <w:rPr>
          <w:rFonts w:ascii="Arial Black" w:hAnsi="Arial Black"/>
          <w:sz w:val="32"/>
          <w:szCs w:val="32"/>
        </w:rPr>
        <w:t>Risk</w:t>
      </w:r>
      <w:r w:rsidRPr="00C27A07">
        <w:rPr>
          <w:rFonts w:ascii="Arial Black" w:hAnsi="Arial Black"/>
          <w:spacing w:val="-6"/>
          <w:sz w:val="32"/>
          <w:szCs w:val="32"/>
        </w:rPr>
        <w:t xml:space="preserve"> </w:t>
      </w:r>
      <w:r w:rsidRPr="00C27A07">
        <w:rPr>
          <w:rFonts w:ascii="Arial Black" w:hAnsi="Arial Black"/>
          <w:sz w:val="32"/>
          <w:szCs w:val="32"/>
        </w:rPr>
        <w:t>Management</w:t>
      </w:r>
      <w:r w:rsidRPr="00C27A07">
        <w:rPr>
          <w:rFonts w:ascii="Arial Black" w:hAnsi="Arial Black"/>
          <w:spacing w:val="-5"/>
          <w:sz w:val="32"/>
          <w:szCs w:val="32"/>
        </w:rPr>
        <w:t xml:space="preserve"> </w:t>
      </w:r>
      <w:r w:rsidRPr="00C27A07">
        <w:rPr>
          <w:rFonts w:ascii="Arial Black" w:hAnsi="Arial Black"/>
          <w:spacing w:val="-2"/>
          <w:sz w:val="32"/>
          <w:szCs w:val="32"/>
        </w:rPr>
        <w:t>Implications</w:t>
      </w:r>
    </w:p>
    <w:p w14:paraId="66750414" w14:textId="77777777" w:rsidR="00C90D8A" w:rsidRDefault="00C90D8A" w:rsidP="00C90D8A">
      <w:pPr>
        <w:pStyle w:val="BodyText"/>
        <w:ind w:left="220"/>
      </w:pPr>
      <w:r>
        <w:rPr>
          <w:spacing w:val="-4"/>
        </w:rPr>
        <w:t>None</w:t>
      </w:r>
    </w:p>
    <w:p w14:paraId="322A562C" w14:textId="77777777" w:rsidR="00C90D8A" w:rsidRDefault="00C90D8A" w:rsidP="00C90D8A">
      <w:pPr>
        <w:pStyle w:val="BodyText"/>
        <w:spacing w:before="1"/>
      </w:pPr>
    </w:p>
    <w:p w14:paraId="1D38A6D6" w14:textId="77777777" w:rsidR="00C90D8A" w:rsidRPr="00C27A07" w:rsidRDefault="00C90D8A" w:rsidP="00C90D8A">
      <w:pPr>
        <w:pStyle w:val="Heading2"/>
        <w:rPr>
          <w:rFonts w:ascii="Arial Black" w:hAnsi="Arial Black"/>
        </w:rPr>
      </w:pPr>
      <w:r w:rsidRPr="00C27A07">
        <w:rPr>
          <w:rFonts w:ascii="Arial Black" w:hAnsi="Arial Black"/>
        </w:rPr>
        <w:t>Equalities</w:t>
      </w:r>
      <w:r w:rsidRPr="00C27A07">
        <w:rPr>
          <w:rFonts w:ascii="Arial Black" w:hAnsi="Arial Black"/>
          <w:spacing w:val="-8"/>
        </w:rPr>
        <w:t xml:space="preserve"> </w:t>
      </w:r>
      <w:r w:rsidRPr="00C27A07">
        <w:rPr>
          <w:rFonts w:ascii="Arial Black" w:hAnsi="Arial Black"/>
        </w:rPr>
        <w:t>implications</w:t>
      </w:r>
      <w:r w:rsidRPr="00C27A07">
        <w:rPr>
          <w:rFonts w:ascii="Arial Black" w:hAnsi="Arial Black"/>
          <w:spacing w:val="-3"/>
        </w:rPr>
        <w:t xml:space="preserve"> </w:t>
      </w:r>
      <w:r w:rsidRPr="00C27A07">
        <w:rPr>
          <w:rFonts w:ascii="Arial Black" w:hAnsi="Arial Black"/>
        </w:rPr>
        <w:t>/</w:t>
      </w:r>
      <w:r w:rsidRPr="00C27A07">
        <w:rPr>
          <w:rFonts w:ascii="Arial Black" w:hAnsi="Arial Black"/>
          <w:spacing w:val="-5"/>
        </w:rPr>
        <w:t xml:space="preserve"> </w:t>
      </w:r>
      <w:r w:rsidRPr="00C27A07">
        <w:rPr>
          <w:rFonts w:ascii="Arial Black" w:hAnsi="Arial Black"/>
        </w:rPr>
        <w:t>Public</w:t>
      </w:r>
      <w:r w:rsidRPr="00C27A07">
        <w:rPr>
          <w:rFonts w:ascii="Arial Black" w:hAnsi="Arial Black"/>
          <w:spacing w:val="-8"/>
        </w:rPr>
        <w:t xml:space="preserve"> </w:t>
      </w:r>
      <w:r w:rsidRPr="00C27A07">
        <w:rPr>
          <w:rFonts w:ascii="Arial Black" w:hAnsi="Arial Black"/>
        </w:rPr>
        <w:t>Sector</w:t>
      </w:r>
      <w:r w:rsidRPr="00C27A07">
        <w:rPr>
          <w:rFonts w:ascii="Arial Black" w:hAnsi="Arial Black"/>
          <w:spacing w:val="-4"/>
        </w:rPr>
        <w:t xml:space="preserve"> </w:t>
      </w:r>
      <w:r w:rsidRPr="00C27A07">
        <w:rPr>
          <w:rFonts w:ascii="Arial Black" w:hAnsi="Arial Black"/>
        </w:rPr>
        <w:t>Equality</w:t>
      </w:r>
      <w:r w:rsidRPr="00C27A07">
        <w:rPr>
          <w:rFonts w:ascii="Arial Black" w:hAnsi="Arial Black"/>
          <w:spacing w:val="-12"/>
        </w:rPr>
        <w:t xml:space="preserve"> </w:t>
      </w:r>
      <w:r w:rsidRPr="00C27A07">
        <w:rPr>
          <w:rFonts w:ascii="Arial Black" w:hAnsi="Arial Black"/>
          <w:spacing w:val="-4"/>
        </w:rPr>
        <w:t>Duty</w:t>
      </w:r>
    </w:p>
    <w:p w14:paraId="3D90BDAA" w14:textId="3FC0B632" w:rsidR="00C90D8A" w:rsidRDefault="00C90D8A" w:rsidP="005B2940">
      <w:pPr>
        <w:pStyle w:val="NormalWeb"/>
        <w:ind w:left="220"/>
      </w:pPr>
      <w:r w:rsidRPr="005B2940">
        <w:rPr>
          <w:rFonts w:ascii="Arial" w:eastAsia="Times New Roman" w:hAnsi="Arial" w:cs="Arial"/>
          <w:color w:val="000000"/>
          <w:sz w:val="24"/>
          <w:szCs w:val="24"/>
          <w:lang w:val="en-US" w:eastAsia="en-US"/>
        </w:rPr>
        <w:t xml:space="preserve">None – </w:t>
      </w:r>
      <w:r w:rsidR="005B2940" w:rsidRPr="005B2940">
        <w:rPr>
          <w:rFonts w:ascii="Arial" w:eastAsia="Times New Roman" w:hAnsi="Arial" w:cs="Arial"/>
          <w:color w:val="000000"/>
          <w:sz w:val="24"/>
          <w:szCs w:val="24"/>
          <w:lang w:val="en-US" w:eastAsia="en-US"/>
        </w:rPr>
        <w:t>Whilst </w:t>
      </w:r>
      <w:r w:rsidR="005B2940">
        <w:rPr>
          <w:rFonts w:ascii="Arial" w:eastAsia="Times New Roman" w:hAnsi="Arial" w:cs="Arial"/>
          <w:color w:val="000000"/>
          <w:sz w:val="24"/>
          <w:szCs w:val="24"/>
          <w:lang w:val="en-US" w:eastAsia="en-US"/>
        </w:rPr>
        <w:t>t</w:t>
      </w:r>
      <w:r w:rsidR="005B2940" w:rsidRPr="005B2940">
        <w:rPr>
          <w:rFonts w:ascii="Arial" w:eastAsia="Times New Roman" w:hAnsi="Arial" w:cs="Arial"/>
          <w:color w:val="000000"/>
          <w:sz w:val="24"/>
          <w:szCs w:val="24"/>
          <w:lang w:val="en-US" w:eastAsia="en-US"/>
        </w:rPr>
        <w:t>he Statutory Safeguarding Partnership arrangements is not a separate public body with duties prescribed to it under The Equality Act 2010, partner agencies, who are public bodies</w:t>
      </w:r>
      <w:r w:rsidR="005B2940">
        <w:rPr>
          <w:rFonts w:ascii="Arial" w:eastAsia="Times New Roman" w:hAnsi="Arial" w:cs="Arial"/>
          <w:color w:val="000000"/>
          <w:sz w:val="24"/>
          <w:szCs w:val="24"/>
          <w:lang w:val="en-US" w:eastAsia="en-US"/>
        </w:rPr>
        <w:t xml:space="preserve"> are, </w:t>
      </w:r>
      <w:r w:rsidR="005B2940" w:rsidRPr="005B2940">
        <w:rPr>
          <w:rFonts w:ascii="Arial" w:eastAsia="Times New Roman" w:hAnsi="Arial" w:cs="Arial"/>
          <w:color w:val="000000"/>
          <w:sz w:val="24"/>
          <w:szCs w:val="24"/>
          <w:lang w:val="en-US" w:eastAsia="en-US"/>
        </w:rPr>
        <w:t>in the course of their work</w:t>
      </w:r>
      <w:r w:rsidR="005B2940">
        <w:rPr>
          <w:rFonts w:ascii="Arial" w:eastAsia="Times New Roman" w:hAnsi="Arial" w:cs="Arial"/>
          <w:color w:val="000000"/>
          <w:sz w:val="24"/>
          <w:szCs w:val="24"/>
          <w:lang w:val="en-US" w:eastAsia="en-US"/>
        </w:rPr>
        <w:t>,</w:t>
      </w:r>
      <w:r w:rsidR="005B2940" w:rsidRPr="005B2940">
        <w:rPr>
          <w:rFonts w:ascii="Arial" w:eastAsia="Times New Roman" w:hAnsi="Arial" w:cs="Arial"/>
          <w:color w:val="000000"/>
          <w:sz w:val="24"/>
          <w:szCs w:val="24"/>
          <w:lang w:val="en-US" w:eastAsia="en-US"/>
        </w:rPr>
        <w:t xml:space="preserve"> subject to the Act's Public Sector </w:t>
      </w:r>
      <w:r w:rsidR="005B2940">
        <w:rPr>
          <w:rFonts w:ascii="Arial" w:eastAsia="Times New Roman" w:hAnsi="Arial" w:cs="Arial"/>
          <w:color w:val="000000"/>
          <w:sz w:val="24"/>
          <w:szCs w:val="24"/>
          <w:lang w:val="en-US" w:eastAsia="en-US"/>
        </w:rPr>
        <w:t>E</w:t>
      </w:r>
      <w:r w:rsidR="005B2940" w:rsidRPr="005B2940">
        <w:rPr>
          <w:rFonts w:ascii="Arial" w:eastAsia="Times New Roman" w:hAnsi="Arial" w:cs="Arial"/>
          <w:color w:val="000000"/>
          <w:sz w:val="24"/>
          <w:szCs w:val="24"/>
          <w:lang w:val="en-US" w:eastAsia="en-US"/>
        </w:rPr>
        <w:t>quality Duty under s149.</w:t>
      </w:r>
    </w:p>
    <w:p w14:paraId="74C8EA63" w14:textId="77777777" w:rsidR="00C90D8A" w:rsidRPr="00C27A07" w:rsidRDefault="00C90D8A" w:rsidP="00C90D8A">
      <w:pPr>
        <w:ind w:left="220" w:right="692"/>
        <w:rPr>
          <w:rFonts w:ascii="Arial Black" w:hAnsi="Arial Black"/>
          <w:b/>
          <w:sz w:val="28"/>
          <w:szCs w:val="28"/>
        </w:rPr>
      </w:pPr>
      <w:r w:rsidRPr="00C27A07">
        <w:rPr>
          <w:rFonts w:ascii="Arial Black" w:hAnsi="Arial Black"/>
          <w:b/>
          <w:sz w:val="28"/>
          <w:szCs w:val="28"/>
        </w:rPr>
        <w:t>Council Priorities</w:t>
      </w:r>
      <w:r w:rsidRPr="00C27A07">
        <w:rPr>
          <w:rFonts w:ascii="Arial Black" w:hAnsi="Arial Black"/>
          <w:b/>
          <w:spacing w:val="40"/>
          <w:sz w:val="28"/>
          <w:szCs w:val="28"/>
        </w:rPr>
        <w:t xml:space="preserve"> </w:t>
      </w:r>
    </w:p>
    <w:p w14:paraId="5AD4CAAE" w14:textId="77777777" w:rsidR="00C90D8A" w:rsidRDefault="00C90D8A" w:rsidP="00C90D8A">
      <w:pPr>
        <w:ind w:left="220" w:right="692"/>
        <w:rPr>
          <w:sz w:val="28"/>
        </w:rPr>
      </w:pPr>
      <w:r w:rsidRPr="001A7156">
        <w:rPr>
          <w:sz w:val="24"/>
          <w:szCs w:val="24"/>
        </w:rPr>
        <w:t>The Partners work to agreed multi-agency priorities</w:t>
      </w:r>
      <w:r w:rsidRPr="001A7156">
        <w:rPr>
          <w:spacing w:val="-3"/>
          <w:sz w:val="24"/>
          <w:szCs w:val="24"/>
        </w:rPr>
        <w:t xml:space="preserve"> </w:t>
      </w:r>
      <w:r w:rsidRPr="001A7156">
        <w:rPr>
          <w:sz w:val="24"/>
          <w:szCs w:val="24"/>
        </w:rPr>
        <w:t>and</w:t>
      </w:r>
      <w:r w:rsidRPr="001A7156">
        <w:rPr>
          <w:spacing w:val="-5"/>
          <w:sz w:val="24"/>
          <w:szCs w:val="24"/>
        </w:rPr>
        <w:t xml:space="preserve"> </w:t>
      </w:r>
      <w:r w:rsidRPr="001A7156">
        <w:rPr>
          <w:sz w:val="24"/>
          <w:szCs w:val="24"/>
        </w:rPr>
        <w:t>this</w:t>
      </w:r>
      <w:r w:rsidRPr="001A7156">
        <w:rPr>
          <w:spacing w:val="-4"/>
          <w:sz w:val="24"/>
          <w:szCs w:val="24"/>
        </w:rPr>
        <w:t xml:space="preserve"> </w:t>
      </w:r>
      <w:r w:rsidRPr="001A7156">
        <w:rPr>
          <w:sz w:val="24"/>
          <w:szCs w:val="24"/>
        </w:rPr>
        <w:t>report</w:t>
      </w:r>
      <w:r w:rsidRPr="001A7156">
        <w:rPr>
          <w:spacing w:val="-4"/>
          <w:sz w:val="24"/>
          <w:szCs w:val="24"/>
        </w:rPr>
        <w:t xml:space="preserve"> </w:t>
      </w:r>
      <w:r w:rsidRPr="001A7156">
        <w:rPr>
          <w:sz w:val="24"/>
          <w:szCs w:val="24"/>
        </w:rPr>
        <w:t>describes</w:t>
      </w:r>
      <w:r w:rsidRPr="001A7156">
        <w:rPr>
          <w:spacing w:val="-4"/>
          <w:sz w:val="24"/>
          <w:szCs w:val="24"/>
        </w:rPr>
        <w:t xml:space="preserve"> </w:t>
      </w:r>
      <w:r w:rsidRPr="001A7156">
        <w:rPr>
          <w:sz w:val="24"/>
          <w:szCs w:val="24"/>
        </w:rPr>
        <w:t>how</w:t>
      </w:r>
      <w:r w:rsidRPr="001A7156">
        <w:rPr>
          <w:spacing w:val="-6"/>
          <w:sz w:val="24"/>
          <w:szCs w:val="24"/>
        </w:rPr>
        <w:t xml:space="preserve"> </w:t>
      </w:r>
      <w:r w:rsidRPr="001A7156">
        <w:rPr>
          <w:sz w:val="24"/>
          <w:szCs w:val="24"/>
        </w:rPr>
        <w:t>they</w:t>
      </w:r>
      <w:r w:rsidRPr="001A7156">
        <w:rPr>
          <w:spacing w:val="-6"/>
          <w:sz w:val="24"/>
          <w:szCs w:val="24"/>
        </w:rPr>
        <w:t xml:space="preserve"> </w:t>
      </w:r>
      <w:r w:rsidRPr="001A7156">
        <w:rPr>
          <w:sz w:val="24"/>
          <w:szCs w:val="24"/>
        </w:rPr>
        <w:t>work</w:t>
      </w:r>
      <w:r w:rsidRPr="001A7156">
        <w:rPr>
          <w:spacing w:val="-2"/>
          <w:sz w:val="24"/>
          <w:szCs w:val="24"/>
        </w:rPr>
        <w:t xml:space="preserve"> </w:t>
      </w:r>
      <w:r w:rsidRPr="001A7156">
        <w:rPr>
          <w:sz w:val="24"/>
          <w:szCs w:val="24"/>
        </w:rPr>
        <w:t>together</w:t>
      </w:r>
      <w:r w:rsidRPr="001A7156">
        <w:rPr>
          <w:spacing w:val="-7"/>
          <w:sz w:val="24"/>
          <w:szCs w:val="24"/>
        </w:rPr>
        <w:t xml:space="preserve"> </w:t>
      </w:r>
      <w:r w:rsidRPr="001A7156">
        <w:rPr>
          <w:sz w:val="24"/>
          <w:szCs w:val="24"/>
        </w:rPr>
        <w:t>to</w:t>
      </w:r>
      <w:r w:rsidRPr="001A7156">
        <w:rPr>
          <w:spacing w:val="-2"/>
          <w:sz w:val="24"/>
          <w:szCs w:val="24"/>
        </w:rPr>
        <w:t xml:space="preserve"> </w:t>
      </w:r>
      <w:r w:rsidRPr="001A7156">
        <w:rPr>
          <w:sz w:val="24"/>
          <w:szCs w:val="24"/>
        </w:rPr>
        <w:t xml:space="preserve">help children thrive and to keep them safe from </w:t>
      </w:r>
      <w:proofErr w:type="gramStart"/>
      <w:r w:rsidRPr="001A7156">
        <w:rPr>
          <w:sz w:val="24"/>
          <w:szCs w:val="24"/>
        </w:rPr>
        <w:t>harm</w:t>
      </w:r>
      <w:proofErr w:type="gramEnd"/>
    </w:p>
    <w:p w14:paraId="307052A6" w14:textId="77777777" w:rsidR="00C90D8A" w:rsidRDefault="00C90D8A" w:rsidP="00C90D8A">
      <w:pPr>
        <w:pStyle w:val="BodyText"/>
        <w:spacing w:before="9"/>
        <w:rPr>
          <w:sz w:val="23"/>
        </w:rPr>
      </w:pPr>
    </w:p>
    <w:p w14:paraId="2E10D15E" w14:textId="77777777" w:rsidR="00233CFC" w:rsidRDefault="00233CFC">
      <w:pPr>
        <w:spacing w:line="276" w:lineRule="exact"/>
        <w:rPr>
          <w:sz w:val="24"/>
        </w:rPr>
        <w:sectPr w:rsidR="00233CFC">
          <w:type w:val="continuous"/>
          <w:pgSz w:w="11910" w:h="16840"/>
          <w:pgMar w:top="1260" w:right="1160" w:bottom="280" w:left="1580" w:header="720" w:footer="720" w:gutter="0"/>
          <w:cols w:space="720"/>
        </w:sectPr>
      </w:pPr>
    </w:p>
    <w:p w14:paraId="7FD4F556" w14:textId="77777777" w:rsidR="008618DE" w:rsidRDefault="008618DE" w:rsidP="008618DE">
      <w:pPr>
        <w:pStyle w:val="BodyText"/>
        <w:spacing w:line="242" w:lineRule="auto"/>
        <w:ind w:right="1026"/>
        <w:rPr>
          <w:rFonts w:ascii="Arial Black" w:hAnsi="Arial Black"/>
          <w:b/>
          <w:bCs/>
          <w:sz w:val="32"/>
          <w:szCs w:val="32"/>
        </w:rPr>
      </w:pPr>
    </w:p>
    <w:p w14:paraId="69624B98" w14:textId="22750F34" w:rsidR="00233CFC" w:rsidRPr="008618DE" w:rsidRDefault="001A0D7E" w:rsidP="008618DE">
      <w:pPr>
        <w:pStyle w:val="BodyText"/>
        <w:spacing w:line="242" w:lineRule="auto"/>
        <w:ind w:right="1026"/>
        <w:rPr>
          <w:rFonts w:ascii="Arial Black" w:hAnsi="Arial Black"/>
          <w:b/>
          <w:bCs/>
          <w:sz w:val="32"/>
          <w:szCs w:val="32"/>
        </w:rPr>
      </w:pPr>
      <w:r w:rsidRPr="008618DE">
        <w:rPr>
          <w:rFonts w:ascii="Arial Black" w:hAnsi="Arial Black"/>
          <w:b/>
          <w:bCs/>
          <w:sz w:val="32"/>
          <w:szCs w:val="32"/>
        </w:rPr>
        <w:t xml:space="preserve">Section 3 - Statutory Officer Clearance (Council and Joint Reports) </w:t>
      </w:r>
    </w:p>
    <w:p w14:paraId="7AFAE90C" w14:textId="77777777" w:rsidR="00233CFC" w:rsidRPr="004D7BBC" w:rsidRDefault="00233CFC">
      <w:pPr>
        <w:pStyle w:val="BodyText"/>
        <w:spacing w:before="13"/>
        <w:rPr>
          <w:rFonts w:ascii="Arial Black"/>
          <w:b/>
          <w:bCs/>
          <w:sz w:val="18"/>
        </w:rPr>
      </w:pPr>
    </w:p>
    <w:p w14:paraId="65286AFF" w14:textId="7C3C1157" w:rsidR="00233CFC" w:rsidRDefault="00233CFC">
      <w:pPr>
        <w:pStyle w:val="BodyText"/>
        <w:spacing w:before="1"/>
        <w:rPr>
          <w:rFonts w:ascii="Arial Black"/>
          <w:sz w:val="26"/>
        </w:rPr>
      </w:pPr>
    </w:p>
    <w:p w14:paraId="0A311618" w14:textId="4E34E748" w:rsidR="00B57D15" w:rsidRPr="00C27A07" w:rsidRDefault="00B57D15" w:rsidP="00B57D15">
      <w:pPr>
        <w:rPr>
          <w:rFonts w:ascii="Arial Black" w:hAnsi="Arial Black"/>
          <w:sz w:val="28"/>
          <w:szCs w:val="28"/>
        </w:rPr>
      </w:pPr>
      <w:r w:rsidRPr="00C27A07">
        <w:rPr>
          <w:rFonts w:ascii="Arial Black" w:hAnsi="Arial Black"/>
          <w:b/>
          <w:sz w:val="28"/>
          <w:szCs w:val="28"/>
        </w:rPr>
        <w:t xml:space="preserve">Statutory Officer:  </w:t>
      </w:r>
      <w:r w:rsidR="00AE5050">
        <w:rPr>
          <w:rFonts w:ascii="Arial Black" w:hAnsi="Arial Black"/>
          <w:b/>
          <w:sz w:val="28"/>
          <w:szCs w:val="28"/>
        </w:rPr>
        <w:t>Jo Frost</w:t>
      </w:r>
    </w:p>
    <w:p w14:paraId="0452235B" w14:textId="495CD6E3" w:rsidR="00B57D15" w:rsidRPr="0032136D" w:rsidRDefault="00B57D15" w:rsidP="00B57D15">
      <w:pPr>
        <w:rPr>
          <w:sz w:val="28"/>
          <w:szCs w:val="28"/>
        </w:rPr>
      </w:pPr>
      <w:r w:rsidRPr="0032136D">
        <w:rPr>
          <w:sz w:val="28"/>
          <w:szCs w:val="28"/>
        </w:rPr>
        <w:t>Signed on *behalf of/by the Chief Financial Officer</w:t>
      </w:r>
    </w:p>
    <w:p w14:paraId="5E230BE2" w14:textId="1264911F" w:rsidR="00B57D15" w:rsidRPr="0032136D" w:rsidRDefault="00B57D15" w:rsidP="00B57D15">
      <w:pPr>
        <w:spacing w:after="480"/>
        <w:rPr>
          <w:sz w:val="28"/>
          <w:szCs w:val="28"/>
        </w:rPr>
      </w:pPr>
      <w:r w:rsidRPr="0032136D">
        <w:rPr>
          <w:b/>
          <w:sz w:val="28"/>
          <w:szCs w:val="28"/>
        </w:rPr>
        <w:t xml:space="preserve">Date:  </w:t>
      </w:r>
      <w:r w:rsidR="008618DE" w:rsidRPr="0032136D">
        <w:rPr>
          <w:b/>
          <w:sz w:val="28"/>
          <w:szCs w:val="28"/>
        </w:rPr>
        <w:t>1</w:t>
      </w:r>
      <w:r w:rsidR="00AE5050">
        <w:rPr>
          <w:b/>
          <w:sz w:val="28"/>
          <w:szCs w:val="28"/>
        </w:rPr>
        <w:t>9</w:t>
      </w:r>
      <w:r w:rsidRPr="0032136D">
        <w:rPr>
          <w:b/>
          <w:sz w:val="28"/>
          <w:szCs w:val="28"/>
        </w:rPr>
        <w:t>/1</w:t>
      </w:r>
      <w:r w:rsidR="00AE5050">
        <w:rPr>
          <w:b/>
          <w:sz w:val="28"/>
          <w:szCs w:val="28"/>
        </w:rPr>
        <w:t>0</w:t>
      </w:r>
      <w:r w:rsidRPr="0032136D">
        <w:rPr>
          <w:b/>
          <w:sz w:val="28"/>
          <w:szCs w:val="28"/>
        </w:rPr>
        <w:t>/202</w:t>
      </w:r>
      <w:r w:rsidR="00AE5050">
        <w:rPr>
          <w:b/>
          <w:sz w:val="28"/>
          <w:szCs w:val="28"/>
        </w:rPr>
        <w:t>3</w:t>
      </w:r>
    </w:p>
    <w:p w14:paraId="018BD54A" w14:textId="77777777" w:rsidR="00B57D15" w:rsidRPr="00C27A07" w:rsidRDefault="00B57D15" w:rsidP="00B57D15">
      <w:pPr>
        <w:rPr>
          <w:rFonts w:ascii="Arial Black" w:hAnsi="Arial Black"/>
          <w:b/>
          <w:sz w:val="28"/>
          <w:szCs w:val="28"/>
        </w:rPr>
      </w:pPr>
      <w:r w:rsidRPr="00C27A07">
        <w:rPr>
          <w:rFonts w:ascii="Arial Black" w:hAnsi="Arial Black"/>
          <w:b/>
          <w:sz w:val="28"/>
          <w:szCs w:val="28"/>
        </w:rPr>
        <w:t>Statutory Officer:  Sharon Clarke</w:t>
      </w:r>
    </w:p>
    <w:p w14:paraId="513203F7" w14:textId="4BD0DE16" w:rsidR="00B57D15" w:rsidRPr="0032136D" w:rsidRDefault="00B57D15" w:rsidP="00B57D15">
      <w:pPr>
        <w:rPr>
          <w:sz w:val="28"/>
          <w:szCs w:val="28"/>
        </w:rPr>
      </w:pPr>
      <w:r w:rsidRPr="0032136D">
        <w:rPr>
          <w:sz w:val="28"/>
          <w:szCs w:val="28"/>
        </w:rPr>
        <w:t>Signed on *behalf of/by the Monitoring Officer</w:t>
      </w:r>
    </w:p>
    <w:p w14:paraId="06CF04FC" w14:textId="525C15D1" w:rsidR="00B57D15" w:rsidRPr="0032136D" w:rsidRDefault="00B57D15" w:rsidP="00B57D15">
      <w:pPr>
        <w:spacing w:after="480"/>
        <w:rPr>
          <w:sz w:val="28"/>
          <w:szCs w:val="28"/>
        </w:rPr>
      </w:pPr>
      <w:r w:rsidRPr="0032136D">
        <w:rPr>
          <w:b/>
          <w:sz w:val="28"/>
          <w:szCs w:val="28"/>
        </w:rPr>
        <w:t xml:space="preserve">Date:  </w:t>
      </w:r>
      <w:r w:rsidR="008618DE" w:rsidRPr="0032136D">
        <w:rPr>
          <w:b/>
          <w:sz w:val="28"/>
          <w:szCs w:val="28"/>
        </w:rPr>
        <w:t>1</w:t>
      </w:r>
      <w:r w:rsidR="00AE5050">
        <w:rPr>
          <w:b/>
          <w:sz w:val="28"/>
          <w:szCs w:val="28"/>
        </w:rPr>
        <w:t>9</w:t>
      </w:r>
      <w:r w:rsidR="00AE5050" w:rsidRPr="0032136D">
        <w:rPr>
          <w:b/>
          <w:sz w:val="28"/>
          <w:szCs w:val="28"/>
        </w:rPr>
        <w:t>/1</w:t>
      </w:r>
      <w:r w:rsidR="00AE5050">
        <w:rPr>
          <w:b/>
          <w:sz w:val="28"/>
          <w:szCs w:val="28"/>
        </w:rPr>
        <w:t>0</w:t>
      </w:r>
      <w:r w:rsidR="00AE5050" w:rsidRPr="0032136D">
        <w:rPr>
          <w:b/>
          <w:sz w:val="28"/>
          <w:szCs w:val="28"/>
        </w:rPr>
        <w:t>/202</w:t>
      </w:r>
      <w:r w:rsidR="00AE5050">
        <w:rPr>
          <w:b/>
          <w:sz w:val="28"/>
          <w:szCs w:val="28"/>
        </w:rPr>
        <w:t>3</w:t>
      </w:r>
      <w:r w:rsidRPr="0032136D">
        <w:rPr>
          <w:b/>
          <w:sz w:val="28"/>
          <w:szCs w:val="28"/>
        </w:rPr>
        <w:t>2</w:t>
      </w:r>
    </w:p>
    <w:p w14:paraId="4EFEDA63" w14:textId="4631C5BD" w:rsidR="00B57D15" w:rsidRPr="00C27A07" w:rsidRDefault="00B57D15" w:rsidP="00B57D15">
      <w:pPr>
        <w:rPr>
          <w:rFonts w:ascii="Arial Black" w:hAnsi="Arial Black"/>
          <w:color w:val="000000" w:themeColor="text1"/>
          <w:sz w:val="28"/>
          <w:szCs w:val="28"/>
        </w:rPr>
      </w:pPr>
      <w:r w:rsidRPr="00C27A07">
        <w:rPr>
          <w:rFonts w:ascii="Arial Black" w:hAnsi="Arial Black"/>
          <w:b/>
          <w:sz w:val="28"/>
          <w:szCs w:val="28"/>
        </w:rPr>
        <w:t xml:space="preserve">Chief Officer:  </w:t>
      </w:r>
      <w:r w:rsidRPr="00C27A07">
        <w:rPr>
          <w:rFonts w:ascii="Arial Black" w:hAnsi="Arial Black"/>
          <w:b/>
          <w:color w:val="000000" w:themeColor="text1"/>
          <w:sz w:val="28"/>
          <w:szCs w:val="28"/>
        </w:rPr>
        <w:t>Senel Arkut</w:t>
      </w:r>
    </w:p>
    <w:p w14:paraId="220CF390" w14:textId="77777777" w:rsidR="00B57D15" w:rsidRPr="0032136D" w:rsidRDefault="00B57D15" w:rsidP="00B57D15">
      <w:pPr>
        <w:rPr>
          <w:sz w:val="28"/>
          <w:szCs w:val="28"/>
        </w:rPr>
      </w:pPr>
      <w:r w:rsidRPr="0032136D">
        <w:rPr>
          <w:sz w:val="28"/>
          <w:szCs w:val="28"/>
        </w:rPr>
        <w:t>Signed by the Corporate Director</w:t>
      </w:r>
    </w:p>
    <w:p w14:paraId="5578B4F0" w14:textId="5AE0BBCD" w:rsidR="008618DE" w:rsidRPr="0032136D" w:rsidRDefault="00B57D15" w:rsidP="00926637">
      <w:pPr>
        <w:spacing w:after="480"/>
        <w:rPr>
          <w:b/>
          <w:color w:val="000000" w:themeColor="text1"/>
          <w:sz w:val="28"/>
          <w:szCs w:val="28"/>
        </w:rPr>
      </w:pPr>
      <w:r w:rsidRPr="0032136D">
        <w:rPr>
          <w:b/>
          <w:sz w:val="28"/>
          <w:szCs w:val="28"/>
        </w:rPr>
        <w:t>Date</w:t>
      </w:r>
      <w:r w:rsidRPr="0032136D">
        <w:rPr>
          <w:b/>
          <w:color w:val="000000" w:themeColor="text1"/>
          <w:sz w:val="28"/>
          <w:szCs w:val="28"/>
        </w:rPr>
        <w:t xml:space="preserve">:  </w:t>
      </w:r>
      <w:r w:rsidR="00AE5050" w:rsidRPr="0032136D">
        <w:rPr>
          <w:b/>
          <w:sz w:val="28"/>
          <w:szCs w:val="28"/>
        </w:rPr>
        <w:t>1</w:t>
      </w:r>
      <w:r w:rsidR="00AE5050">
        <w:rPr>
          <w:b/>
          <w:sz w:val="28"/>
          <w:szCs w:val="28"/>
        </w:rPr>
        <w:t>9</w:t>
      </w:r>
      <w:r w:rsidR="00AE5050" w:rsidRPr="0032136D">
        <w:rPr>
          <w:b/>
          <w:sz w:val="28"/>
          <w:szCs w:val="28"/>
        </w:rPr>
        <w:t>/1</w:t>
      </w:r>
      <w:r w:rsidR="00AE5050">
        <w:rPr>
          <w:b/>
          <w:sz w:val="28"/>
          <w:szCs w:val="28"/>
        </w:rPr>
        <w:t>0</w:t>
      </w:r>
      <w:r w:rsidR="00AE5050" w:rsidRPr="0032136D">
        <w:rPr>
          <w:b/>
          <w:sz w:val="28"/>
          <w:szCs w:val="28"/>
        </w:rPr>
        <w:t>/202</w:t>
      </w:r>
      <w:r w:rsidR="00AE5050">
        <w:rPr>
          <w:b/>
          <w:sz w:val="28"/>
          <w:szCs w:val="28"/>
        </w:rPr>
        <w:t>3</w:t>
      </w:r>
    </w:p>
    <w:p w14:paraId="12C24ECE" w14:textId="77777777" w:rsidR="008618DE" w:rsidRDefault="008618DE" w:rsidP="008618DE">
      <w:pPr>
        <w:pStyle w:val="Heading1"/>
        <w:ind w:left="0" w:right="692"/>
      </w:pPr>
      <w:r>
        <w:t>Section</w:t>
      </w:r>
      <w:r>
        <w:rPr>
          <w:spacing w:val="-8"/>
        </w:rPr>
        <w:t xml:space="preserve"> </w:t>
      </w:r>
      <w:r>
        <w:t>4</w:t>
      </w:r>
      <w:r>
        <w:rPr>
          <w:spacing w:val="-6"/>
        </w:rPr>
        <w:t xml:space="preserve"> </w:t>
      </w:r>
      <w:r>
        <w:t>-</w:t>
      </w:r>
      <w:r>
        <w:rPr>
          <w:spacing w:val="-7"/>
        </w:rPr>
        <w:t xml:space="preserve"> </w:t>
      </w:r>
      <w:r>
        <w:t>Contact</w:t>
      </w:r>
      <w:r>
        <w:rPr>
          <w:spacing w:val="-8"/>
        </w:rPr>
        <w:t xml:space="preserve"> </w:t>
      </w:r>
      <w:r>
        <w:t>Details</w:t>
      </w:r>
      <w:r>
        <w:rPr>
          <w:spacing w:val="-7"/>
        </w:rPr>
        <w:t xml:space="preserve"> </w:t>
      </w:r>
      <w:r>
        <w:t>and</w:t>
      </w:r>
      <w:r>
        <w:rPr>
          <w:spacing w:val="-8"/>
        </w:rPr>
        <w:t xml:space="preserve"> </w:t>
      </w:r>
      <w:r>
        <w:t xml:space="preserve">Background </w:t>
      </w:r>
      <w:r>
        <w:rPr>
          <w:spacing w:val="-2"/>
        </w:rPr>
        <w:t>Papers</w:t>
      </w:r>
    </w:p>
    <w:p w14:paraId="4355F2BA" w14:textId="77777777" w:rsidR="008618DE" w:rsidRDefault="008618DE" w:rsidP="008618DE">
      <w:pPr>
        <w:pStyle w:val="BodyText"/>
        <w:spacing w:before="12"/>
        <w:rPr>
          <w:rFonts w:ascii="Arial Black"/>
          <w:sz w:val="38"/>
        </w:rPr>
      </w:pPr>
    </w:p>
    <w:p w14:paraId="534DA4C2" w14:textId="691A7843" w:rsidR="008618DE" w:rsidRDefault="008618DE" w:rsidP="008618DE">
      <w:pPr>
        <w:pStyle w:val="Infotext"/>
        <w:rPr>
          <w:rFonts w:cs="Arial"/>
          <w:sz w:val="24"/>
        </w:rPr>
      </w:pPr>
      <w:r>
        <w:rPr>
          <w:b/>
          <w:spacing w:val="-2"/>
        </w:rPr>
        <w:t>Contact:</w:t>
      </w:r>
      <w:r w:rsidR="00D45E44">
        <w:rPr>
          <w:b/>
        </w:rPr>
        <w:t xml:space="preserve"> </w:t>
      </w:r>
      <w:r>
        <w:rPr>
          <w:rFonts w:cs="Arial"/>
          <w:sz w:val="24"/>
        </w:rPr>
        <w:t xml:space="preserve">Alison Renouf - Harrow Safeguarding Partnership Manager. Available on:  </w:t>
      </w:r>
      <w:hyperlink r:id="rId8" w:history="1">
        <w:r w:rsidR="00C90D8A" w:rsidRPr="000821F5">
          <w:rPr>
            <w:rStyle w:val="Hyperlink"/>
            <w:rFonts w:cs="Arial"/>
            <w:sz w:val="24"/>
          </w:rPr>
          <w:t>alison.renouf@harrow.gov.uk</w:t>
        </w:r>
      </w:hyperlink>
    </w:p>
    <w:p w14:paraId="34B9B2B2" w14:textId="77777777" w:rsidR="00C90D8A" w:rsidRDefault="00C90D8A" w:rsidP="008618DE">
      <w:pPr>
        <w:pStyle w:val="Infotext"/>
      </w:pPr>
    </w:p>
    <w:p w14:paraId="252EA4CF" w14:textId="77777777" w:rsidR="00C90D8A" w:rsidRDefault="00C90D8A" w:rsidP="008618DE">
      <w:pPr>
        <w:ind w:left="220"/>
        <w:rPr>
          <w:b/>
          <w:sz w:val="28"/>
        </w:rPr>
      </w:pPr>
    </w:p>
    <w:p w14:paraId="213A4D8D" w14:textId="1D49706F" w:rsidR="008618DE" w:rsidRPr="00C90D8A" w:rsidRDefault="008618DE" w:rsidP="00C90D8A">
      <w:pPr>
        <w:rPr>
          <w:sz w:val="28"/>
        </w:rPr>
        <w:sectPr w:rsidR="008618DE" w:rsidRPr="00C90D8A">
          <w:pgSz w:w="11910" w:h="16840"/>
          <w:pgMar w:top="920" w:right="1160" w:bottom="280" w:left="1580" w:header="720" w:footer="720" w:gutter="0"/>
          <w:cols w:space="720"/>
        </w:sectPr>
      </w:pPr>
      <w:r>
        <w:rPr>
          <w:b/>
          <w:sz w:val="28"/>
        </w:rPr>
        <w:t>Background</w:t>
      </w:r>
      <w:r>
        <w:rPr>
          <w:b/>
          <w:spacing w:val="-4"/>
          <w:sz w:val="28"/>
        </w:rPr>
        <w:t xml:space="preserve"> </w:t>
      </w:r>
      <w:r>
        <w:rPr>
          <w:b/>
          <w:sz w:val="28"/>
        </w:rPr>
        <w:t>Papers</w:t>
      </w:r>
      <w:r>
        <w:rPr>
          <w:sz w:val="28"/>
        </w:rPr>
        <w:t>:</w:t>
      </w:r>
      <w:r>
        <w:rPr>
          <w:spacing w:val="71"/>
          <w:sz w:val="28"/>
        </w:rPr>
        <w:t xml:space="preserve"> </w:t>
      </w:r>
      <w:r>
        <w:rPr>
          <w:spacing w:val="-5"/>
          <w:sz w:val="28"/>
        </w:rPr>
        <w:t>N/A</w:t>
      </w:r>
    </w:p>
    <w:p w14:paraId="79007F8C" w14:textId="6D075E93" w:rsidR="00233CFC" w:rsidRDefault="00233CFC" w:rsidP="008618DE">
      <w:pPr>
        <w:pStyle w:val="Heading1"/>
        <w:ind w:left="0" w:right="692"/>
        <w:rPr>
          <w:sz w:val="28"/>
        </w:rPr>
      </w:pPr>
    </w:p>
    <w:sectPr w:rsidR="00233CFC">
      <w:pgSz w:w="11910" w:h="16840"/>
      <w:pgMar w:top="1200" w:right="1160" w:bottom="280" w:left="15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4A316" w14:textId="77777777" w:rsidR="00873187" w:rsidRDefault="00873187" w:rsidP="001A7156">
      <w:r>
        <w:separator/>
      </w:r>
    </w:p>
  </w:endnote>
  <w:endnote w:type="continuationSeparator" w:id="0">
    <w:p w14:paraId="52D592B1" w14:textId="77777777" w:rsidR="00873187" w:rsidRDefault="00873187" w:rsidP="001A7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716B9" w14:textId="77777777" w:rsidR="00873187" w:rsidRDefault="00873187" w:rsidP="001A7156">
      <w:r>
        <w:separator/>
      </w:r>
    </w:p>
  </w:footnote>
  <w:footnote w:type="continuationSeparator" w:id="0">
    <w:p w14:paraId="38AEFF65" w14:textId="77777777" w:rsidR="00873187" w:rsidRDefault="00873187" w:rsidP="001A71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AA0BB6"/>
    <w:multiLevelType w:val="hybridMultilevel"/>
    <w:tmpl w:val="E926D446"/>
    <w:lvl w:ilvl="0" w:tplc="23888F12">
      <w:start w:val="1"/>
      <w:numFmt w:val="decimal"/>
      <w:lvlText w:val="%1."/>
      <w:lvlJc w:val="left"/>
      <w:pPr>
        <w:ind w:left="940" w:hanging="720"/>
      </w:pPr>
      <w:rPr>
        <w:rFonts w:ascii="Arial" w:eastAsia="Arial" w:hAnsi="Arial" w:cs="Arial" w:hint="default"/>
        <w:b/>
        <w:bCs/>
        <w:i w:val="0"/>
        <w:iCs w:val="0"/>
        <w:w w:val="99"/>
        <w:sz w:val="24"/>
        <w:szCs w:val="24"/>
        <w:lang w:val="en-US" w:eastAsia="en-US" w:bidi="ar-SA"/>
      </w:rPr>
    </w:lvl>
    <w:lvl w:ilvl="1" w:tplc="4ECE92F8">
      <w:numFmt w:val="bullet"/>
      <w:lvlText w:val=""/>
      <w:lvlJc w:val="left"/>
      <w:pPr>
        <w:ind w:left="1372" w:hanging="432"/>
      </w:pPr>
      <w:rPr>
        <w:rFonts w:ascii="Symbol" w:eastAsia="Symbol" w:hAnsi="Symbol" w:cs="Symbol" w:hint="default"/>
        <w:b w:val="0"/>
        <w:bCs w:val="0"/>
        <w:i w:val="0"/>
        <w:iCs w:val="0"/>
        <w:w w:val="100"/>
        <w:sz w:val="24"/>
        <w:szCs w:val="24"/>
        <w:lang w:val="en-US" w:eastAsia="en-US" w:bidi="ar-SA"/>
      </w:rPr>
    </w:lvl>
    <w:lvl w:ilvl="2" w:tplc="BBEAB4A6">
      <w:numFmt w:val="bullet"/>
      <w:lvlText w:val="•"/>
      <w:lvlJc w:val="left"/>
      <w:pPr>
        <w:ind w:left="2245" w:hanging="432"/>
      </w:pPr>
      <w:rPr>
        <w:rFonts w:hint="default"/>
        <w:lang w:val="en-US" w:eastAsia="en-US" w:bidi="ar-SA"/>
      </w:rPr>
    </w:lvl>
    <w:lvl w:ilvl="3" w:tplc="BC045A22">
      <w:numFmt w:val="bullet"/>
      <w:lvlText w:val="•"/>
      <w:lvlJc w:val="left"/>
      <w:pPr>
        <w:ind w:left="3110" w:hanging="432"/>
      </w:pPr>
      <w:rPr>
        <w:rFonts w:hint="default"/>
        <w:lang w:val="en-US" w:eastAsia="en-US" w:bidi="ar-SA"/>
      </w:rPr>
    </w:lvl>
    <w:lvl w:ilvl="4" w:tplc="50BA6F48">
      <w:numFmt w:val="bullet"/>
      <w:lvlText w:val="•"/>
      <w:lvlJc w:val="left"/>
      <w:pPr>
        <w:ind w:left="3976" w:hanging="432"/>
      </w:pPr>
      <w:rPr>
        <w:rFonts w:hint="default"/>
        <w:lang w:val="en-US" w:eastAsia="en-US" w:bidi="ar-SA"/>
      </w:rPr>
    </w:lvl>
    <w:lvl w:ilvl="5" w:tplc="94DAECF8">
      <w:numFmt w:val="bullet"/>
      <w:lvlText w:val="•"/>
      <w:lvlJc w:val="left"/>
      <w:pPr>
        <w:ind w:left="4841" w:hanging="432"/>
      </w:pPr>
      <w:rPr>
        <w:rFonts w:hint="default"/>
        <w:lang w:val="en-US" w:eastAsia="en-US" w:bidi="ar-SA"/>
      </w:rPr>
    </w:lvl>
    <w:lvl w:ilvl="6" w:tplc="A5CE5B2E">
      <w:numFmt w:val="bullet"/>
      <w:lvlText w:val="•"/>
      <w:lvlJc w:val="left"/>
      <w:pPr>
        <w:ind w:left="5707" w:hanging="432"/>
      </w:pPr>
      <w:rPr>
        <w:rFonts w:hint="default"/>
        <w:lang w:val="en-US" w:eastAsia="en-US" w:bidi="ar-SA"/>
      </w:rPr>
    </w:lvl>
    <w:lvl w:ilvl="7" w:tplc="779AD3E8">
      <w:numFmt w:val="bullet"/>
      <w:lvlText w:val="•"/>
      <w:lvlJc w:val="left"/>
      <w:pPr>
        <w:ind w:left="6572" w:hanging="432"/>
      </w:pPr>
      <w:rPr>
        <w:rFonts w:hint="default"/>
        <w:lang w:val="en-US" w:eastAsia="en-US" w:bidi="ar-SA"/>
      </w:rPr>
    </w:lvl>
    <w:lvl w:ilvl="8" w:tplc="FF9EFD1C">
      <w:numFmt w:val="bullet"/>
      <w:lvlText w:val="•"/>
      <w:lvlJc w:val="left"/>
      <w:pPr>
        <w:ind w:left="7437" w:hanging="432"/>
      </w:pPr>
      <w:rPr>
        <w:rFonts w:hint="default"/>
        <w:lang w:val="en-US" w:eastAsia="en-US" w:bidi="ar-SA"/>
      </w:rPr>
    </w:lvl>
  </w:abstractNum>
  <w:num w:numId="1" w16cid:durableId="801806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CFC"/>
    <w:rsid w:val="00075433"/>
    <w:rsid w:val="001461AE"/>
    <w:rsid w:val="001A0D7E"/>
    <w:rsid w:val="001A7156"/>
    <w:rsid w:val="00201D9E"/>
    <w:rsid w:val="00233CFC"/>
    <w:rsid w:val="0027688E"/>
    <w:rsid w:val="0032136D"/>
    <w:rsid w:val="00365D11"/>
    <w:rsid w:val="003B49BE"/>
    <w:rsid w:val="004176D8"/>
    <w:rsid w:val="004D7BBC"/>
    <w:rsid w:val="00552DAD"/>
    <w:rsid w:val="005B2940"/>
    <w:rsid w:val="006E1710"/>
    <w:rsid w:val="008547E3"/>
    <w:rsid w:val="008618DE"/>
    <w:rsid w:val="00873187"/>
    <w:rsid w:val="008A25CE"/>
    <w:rsid w:val="008B563B"/>
    <w:rsid w:val="00926637"/>
    <w:rsid w:val="00AE5050"/>
    <w:rsid w:val="00B43730"/>
    <w:rsid w:val="00B57D15"/>
    <w:rsid w:val="00C06FFE"/>
    <w:rsid w:val="00C10A6C"/>
    <w:rsid w:val="00C27A07"/>
    <w:rsid w:val="00C90D8A"/>
    <w:rsid w:val="00D42673"/>
    <w:rsid w:val="00D45E44"/>
    <w:rsid w:val="00E4224A"/>
    <w:rsid w:val="00F026C4"/>
    <w:rsid w:val="00F34D7E"/>
    <w:rsid w:val="00F8600C"/>
    <w:rsid w:val="00FC16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C8D4D"/>
  <w15:docId w15:val="{1F2E0C07-E4EA-41DC-AB40-73D027717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71"/>
      <w:ind w:left="220"/>
      <w:outlineLvl w:val="0"/>
    </w:pPr>
    <w:rPr>
      <w:rFonts w:ascii="Arial Black" w:eastAsia="Arial Black" w:hAnsi="Arial Black" w:cs="Arial Black"/>
      <w:sz w:val="32"/>
      <w:szCs w:val="32"/>
    </w:rPr>
  </w:style>
  <w:style w:type="paragraph" w:styleId="Heading2">
    <w:name w:val="heading 2"/>
    <w:basedOn w:val="Normal"/>
    <w:uiPriority w:val="9"/>
    <w:unhideWhenUsed/>
    <w:qFormat/>
    <w:pPr>
      <w:ind w:left="220"/>
      <w:outlineLvl w:val="1"/>
    </w:pPr>
    <w:rPr>
      <w:b/>
      <w:bCs/>
      <w:sz w:val="28"/>
      <w:szCs w:val="28"/>
    </w:rPr>
  </w:style>
  <w:style w:type="paragraph" w:styleId="Heading3">
    <w:name w:val="heading 3"/>
    <w:basedOn w:val="Normal"/>
    <w:uiPriority w:val="9"/>
    <w:unhideWhenUsed/>
    <w:qFormat/>
    <w:pPr>
      <w:spacing w:before="1"/>
      <w:ind w:left="940" w:hanging="721"/>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372" w:hanging="433"/>
    </w:pPr>
  </w:style>
  <w:style w:type="paragraph" w:customStyle="1" w:styleId="TableParagraph">
    <w:name w:val="Table Paragraph"/>
    <w:basedOn w:val="Normal"/>
    <w:uiPriority w:val="1"/>
    <w:qFormat/>
  </w:style>
  <w:style w:type="paragraph" w:styleId="FootnoteText">
    <w:name w:val="footnote text"/>
    <w:basedOn w:val="Normal"/>
    <w:link w:val="FootnoteTextChar"/>
    <w:uiPriority w:val="99"/>
    <w:semiHidden/>
    <w:unhideWhenUsed/>
    <w:rsid w:val="001A7156"/>
    <w:pPr>
      <w:widowControl/>
      <w:autoSpaceDE/>
      <w:autoSpaceDN/>
    </w:pPr>
    <w:rPr>
      <w:rFonts w:eastAsiaTheme="minorHAnsi" w:cstheme="minorBidi"/>
      <w:sz w:val="20"/>
      <w:szCs w:val="20"/>
      <w:lang w:val="en-GB"/>
    </w:rPr>
  </w:style>
  <w:style w:type="character" w:customStyle="1" w:styleId="FootnoteTextChar">
    <w:name w:val="Footnote Text Char"/>
    <w:basedOn w:val="DefaultParagraphFont"/>
    <w:link w:val="FootnoteText"/>
    <w:uiPriority w:val="99"/>
    <w:semiHidden/>
    <w:rsid w:val="001A7156"/>
    <w:rPr>
      <w:rFonts w:ascii="Arial" w:hAnsi="Arial"/>
      <w:sz w:val="20"/>
      <w:szCs w:val="20"/>
      <w:lang w:val="en-GB"/>
    </w:rPr>
  </w:style>
  <w:style w:type="character" w:styleId="FootnoteReference">
    <w:name w:val="footnote reference"/>
    <w:basedOn w:val="DefaultParagraphFont"/>
    <w:uiPriority w:val="99"/>
    <w:semiHidden/>
    <w:unhideWhenUsed/>
    <w:rsid w:val="001A7156"/>
    <w:rPr>
      <w:vertAlign w:val="superscript"/>
    </w:rPr>
  </w:style>
  <w:style w:type="paragraph" w:customStyle="1" w:styleId="Infotext">
    <w:name w:val="Info text"/>
    <w:basedOn w:val="Normal"/>
    <w:rsid w:val="00E4224A"/>
    <w:pPr>
      <w:widowControl/>
      <w:autoSpaceDE/>
      <w:autoSpaceDN/>
    </w:pPr>
    <w:rPr>
      <w:rFonts w:eastAsia="Times New Roman" w:cs="Times New Roman"/>
      <w:sz w:val="28"/>
      <w:szCs w:val="20"/>
      <w:lang w:val="en-GB"/>
    </w:rPr>
  </w:style>
  <w:style w:type="character" w:styleId="Hyperlink">
    <w:name w:val="Hyperlink"/>
    <w:basedOn w:val="DefaultParagraphFont"/>
    <w:uiPriority w:val="99"/>
    <w:unhideWhenUsed/>
    <w:rsid w:val="00C90D8A"/>
    <w:rPr>
      <w:color w:val="0000FF" w:themeColor="hyperlink"/>
      <w:u w:val="single"/>
    </w:rPr>
  </w:style>
  <w:style w:type="character" w:styleId="UnresolvedMention">
    <w:name w:val="Unresolved Mention"/>
    <w:basedOn w:val="DefaultParagraphFont"/>
    <w:uiPriority w:val="99"/>
    <w:semiHidden/>
    <w:unhideWhenUsed/>
    <w:rsid w:val="00C90D8A"/>
    <w:rPr>
      <w:color w:val="605E5C"/>
      <w:shd w:val="clear" w:color="auto" w:fill="E1DFDD"/>
    </w:rPr>
  </w:style>
  <w:style w:type="paragraph" w:styleId="NormalWeb">
    <w:name w:val="Normal (Web)"/>
    <w:basedOn w:val="Normal"/>
    <w:uiPriority w:val="99"/>
    <w:unhideWhenUsed/>
    <w:rsid w:val="005B2940"/>
    <w:pPr>
      <w:widowControl/>
      <w:autoSpaceDE/>
      <w:autoSpaceDN/>
      <w:spacing w:before="100" w:beforeAutospacing="1" w:after="100" w:afterAutospacing="1"/>
    </w:pPr>
    <w:rPr>
      <w:rFonts w:ascii="Calibri" w:eastAsiaTheme="minorHAnsi" w:hAnsi="Calibri" w:cs="Calibri"/>
      <w:lang w:val="en-GB" w:eastAsia="en-GB"/>
    </w:rPr>
  </w:style>
  <w:style w:type="character" w:styleId="Strong">
    <w:name w:val="Strong"/>
    <w:basedOn w:val="DefaultParagraphFont"/>
    <w:uiPriority w:val="22"/>
    <w:qFormat/>
    <w:rsid w:val="005B29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707871">
      <w:bodyDiv w:val="1"/>
      <w:marLeft w:val="0"/>
      <w:marRight w:val="0"/>
      <w:marTop w:val="0"/>
      <w:marBottom w:val="0"/>
      <w:divBdr>
        <w:top w:val="none" w:sz="0" w:space="0" w:color="auto"/>
        <w:left w:val="none" w:sz="0" w:space="0" w:color="auto"/>
        <w:bottom w:val="none" w:sz="0" w:space="0" w:color="auto"/>
        <w:right w:val="none" w:sz="0" w:space="0" w:color="auto"/>
      </w:divBdr>
    </w:div>
    <w:div w:id="10358144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ison.renouf@harrow.gov.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474</Words>
  <Characters>2706</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Meeting:</vt:lpstr>
    </vt:vector>
  </TitlesOfParts>
  <Company/>
  <LinksUpToDate>false</LinksUpToDate>
  <CharactersWithSpaces>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Harrow IT Services</dc:creator>
  <cp:lastModifiedBy>Rita Magdani</cp:lastModifiedBy>
  <cp:revision>2</cp:revision>
  <dcterms:created xsi:type="dcterms:W3CDTF">2023-10-20T15:35:00Z</dcterms:created>
  <dcterms:modified xsi:type="dcterms:W3CDTF">2023-10-20T15:35:00Z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2020-11-20T00:00:00Z</vt:filetime>
  </property>
  <property fmtid="{D5CDD505-2E9C-101B-9397-08002B2CF9AE}" pid="3" name="Creator">
    <vt:lpwstr>Microsoft® Word 2010</vt:lpwstr>
  </property>
  <property fmtid="{D5CDD505-2E9C-101B-9397-08002B2CF9AE}" pid="4" name="LastSaved">
    <vt:filetime>2022-11-10T00:00:00Z</vt:filetime>
  </property>
  <property fmtid="{D5CDD505-2E9C-101B-9397-08002B2CF9AE}" pid="5" name="Producer">
    <vt:lpwstr>Microsoft® Word 2010</vt:lpwstr>
  </property>
</Properties>
</file>